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F6" w:rsidRDefault="00362D2E">
      <w:pPr>
        <w:ind w:left="6804"/>
        <w:jc w:val="center"/>
      </w:pPr>
      <w:r>
        <w:t>Додаток 1</w:t>
      </w:r>
      <w:r>
        <w:br/>
        <w:t>до Порядку</w:t>
      </w:r>
      <w:r>
        <w:br/>
      </w:r>
    </w:p>
    <w:p w:rsidR="007970F6" w:rsidRDefault="00362D2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color w:val="000000"/>
        </w:rPr>
        <w:t>КАРТКА</w:t>
      </w:r>
      <w:r>
        <w:rPr>
          <w:color w:val="000000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7970F6" w:rsidRDefault="00362D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01"/>
        </w:tabs>
        <w:spacing w:after="120"/>
        <w:jc w:val="center"/>
      </w:pPr>
      <w:r>
        <w:t>Загальна інформація про об’єкт фізичного оточення</w:t>
      </w:r>
    </w:p>
    <w:tbl>
      <w:tblPr>
        <w:tblStyle w:val="aff"/>
        <w:tblW w:w="89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</w:p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i/>
                <w:sz w:val="28"/>
                <w:szCs w:val="28"/>
                <w:u w:val="single"/>
              </w:rPr>
              <w:t>Бузівська</w:t>
            </w:r>
            <w:proofErr w:type="spellEnd"/>
            <w:r>
              <w:rPr>
                <w:i/>
                <w:sz w:val="28"/>
                <w:szCs w:val="28"/>
                <w:u w:val="single"/>
              </w:rPr>
              <w:t xml:space="preserve"> гімназія – філія Личківського ліцею.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об’єкта фізичного оточення </w:t>
            </w:r>
          </w:p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i/>
                <w:sz w:val="28"/>
                <w:szCs w:val="28"/>
                <w:u w:val="single"/>
              </w:rPr>
              <w:t>Швидкоспоруджувана</w:t>
            </w:r>
            <w:proofErr w:type="spellEnd"/>
            <w:r>
              <w:rPr>
                <w:i/>
                <w:sz w:val="28"/>
                <w:szCs w:val="28"/>
                <w:u w:val="single"/>
              </w:rPr>
              <w:t xml:space="preserve"> захисна споруда модульного типу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 розташування: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населеного пункту (місто/селище/</w:t>
            </w:r>
            <w:r>
              <w:rPr>
                <w:b/>
                <w:sz w:val="28"/>
                <w:szCs w:val="28"/>
                <w:u w:val="single"/>
              </w:rPr>
              <w:t>село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населеного пункту </w:t>
            </w:r>
            <w:r>
              <w:rPr>
                <w:i/>
                <w:sz w:val="28"/>
                <w:szCs w:val="28"/>
                <w:u w:val="single"/>
              </w:rPr>
              <w:t>Бузівка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назва вулиці</w:t>
            </w:r>
            <w:r>
              <w:rPr>
                <w:sz w:val="28"/>
                <w:szCs w:val="28"/>
              </w:rPr>
              <w:t xml:space="preserve">, бульвару, проспекту, провулку, площі тощо </w:t>
            </w:r>
            <w:r>
              <w:rPr>
                <w:i/>
                <w:sz w:val="28"/>
                <w:szCs w:val="28"/>
                <w:u w:val="single"/>
              </w:rPr>
              <w:t>Шкільна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>
              <w:rPr>
                <w:i/>
                <w:sz w:val="28"/>
                <w:szCs w:val="28"/>
                <w:u w:val="single"/>
              </w:rPr>
              <w:t>2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>
              <w:rPr>
                <w:i/>
                <w:sz w:val="28"/>
                <w:szCs w:val="28"/>
                <w:u w:val="single"/>
              </w:rPr>
              <w:t>1 поверх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управителя об’єкта (у разі наявності) </w:t>
            </w:r>
          </w:p>
          <w:p w:rsidR="007970F6" w:rsidRPr="00362D2E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+38 (</w:t>
            </w:r>
            <w:r>
              <w:rPr>
                <w:sz w:val="28"/>
                <w:szCs w:val="28"/>
              </w:rPr>
              <w:t>068</w:t>
            </w:r>
            <w:r>
              <w:rPr>
                <w:sz w:val="28"/>
                <w:szCs w:val="28"/>
                <w:lang w:val="uk-UA"/>
              </w:rPr>
              <w:t xml:space="preserve">) </w:t>
            </w:r>
            <w:r>
              <w:rPr>
                <w:sz w:val="28"/>
                <w:szCs w:val="28"/>
              </w:rPr>
              <w:t>257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 xml:space="preserve">9656, </w:t>
            </w:r>
            <w:hyperlink r:id="rId7" w:history="1">
              <w:r w:rsidRPr="00FD73C6">
                <w:rPr>
                  <w:rStyle w:val="a6"/>
                  <w:i/>
                </w:rPr>
                <w:t>buz02@mag-osvita.dp.ua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Посилання на фото- та відеоматеріали</w:t>
            </w:r>
          </w:p>
        </w:tc>
      </w:tr>
      <w:tr w:rsidR="007970F6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70F6" w:rsidRPr="00362D2E" w:rsidRDefault="00362D2E" w:rsidP="00362D2E">
            <w:pPr>
              <w:widowControl w:val="0"/>
              <w:spacing w:before="120" w:after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Дата проведення оцінки </w:t>
            </w:r>
            <w:r w:rsidRPr="00362D2E">
              <w:rPr>
                <w:i/>
                <w:sz w:val="28"/>
                <w:szCs w:val="28"/>
                <w:lang w:val="uk-UA"/>
              </w:rPr>
              <w:t>29.09.2025</w:t>
            </w:r>
          </w:p>
        </w:tc>
      </w:tr>
    </w:tbl>
    <w:p w:rsidR="007970F6" w:rsidRDefault="007970F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</w:rPr>
      </w:pPr>
    </w:p>
    <w:tbl>
      <w:tblPr>
        <w:tblStyle w:val="aff0"/>
        <w:tblW w:w="9562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3261"/>
        <w:gridCol w:w="1229"/>
        <w:gridCol w:w="1890"/>
        <w:gridCol w:w="3182"/>
      </w:tblGrid>
      <w:tr w:rsidR="007970F6" w:rsidTr="00362D2E">
        <w:trPr>
          <w:trHeight w:val="20"/>
          <w:tblHeader/>
        </w:trPr>
        <w:tc>
          <w:tcPr>
            <w:tcW w:w="32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120" w:after="120"/>
              <w:jc w:val="center"/>
            </w:pPr>
            <w:r>
              <w:t>Критерії безбар’єрності для маломобільних груп населення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120" w:after="120"/>
              <w:jc w:val="center"/>
            </w:pPr>
            <w:r>
              <w:t>Критичність*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120" w:after="120"/>
              <w:jc w:val="center"/>
            </w:pPr>
            <w:r>
              <w:t>Відповідність критеріям**</w:t>
            </w:r>
          </w:p>
        </w:tc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120" w:after="120"/>
              <w:jc w:val="center"/>
            </w:pPr>
            <w:r>
              <w:t>Фотоматеріали та коментарі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1. Шляхи руху до будівлі або споруди:</w:t>
            </w:r>
          </w:p>
        </w:tc>
        <w:tc>
          <w:tcPr>
            <w:tcW w:w="1229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1) паркувальні місця для осіб з інвалідністю, завширшки не менше ніж 3,5 метра та завдовжки не менше ніж 5 метрів, розташовані на </w:t>
            </w:r>
            <w:r>
              <w:lastRenderedPageBreak/>
              <w:t>відстані не більше ніж 50 метрів від входу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Паркувальні місця відсутні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2) паркувальних місць для осіб з інвалідністю не менше ніж 10 відсотків загальної кількості (але не менше ніж одне місце), місця позначені дорожніми знаками та горизонтальною розміткою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Паркувальні місця для</w:t>
            </w:r>
            <w:r>
              <w:t xml:space="preserve"> осіб з інвалідністю відсутні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3) поряд із входом облаштована велопарковка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Велопарковка   відсутня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4) ширина входу на прилеглу територію та ширина дверей, хвірток (за наявності) становить не менше ніж 0,9 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tabs>
                <w:tab w:val="center" w:pos="902"/>
              </w:tabs>
              <w:spacing w:before="120"/>
            </w:pPr>
            <w:r>
              <w:t>Ширина входу більше ніж 0,9 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5) ширина пішохідних доріжок із зустрічним рухом становить не менше ніж 1,8 метра</w:t>
            </w:r>
          </w:p>
          <w:p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Ширина пішохідних доріжок не менше 1,8 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ind w:right="-112"/>
            </w:pPr>
            <w: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>
              <w:t>крупноструктурних</w:t>
            </w:r>
            <w:proofErr w:type="spellEnd"/>
            <w:r>
              <w:t xml:space="preserve"> матеріалів, що перешкоджають пересуванню осіб з </w:t>
            </w:r>
            <w:r>
              <w:lastRenderedPageBreak/>
              <w:t>інвалідністю на кріслах колісних або із милицями)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Покриття не рівне, з вибоїнами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7) пішохідні доріжки, що перетинаються, поєднані на одному спільному рівні, на таких доріжках відсутні перешкоди (</w:t>
            </w:r>
            <w:proofErr w:type="spellStart"/>
            <w:r>
              <w:t>антипаркувальні</w:t>
            </w:r>
            <w:proofErr w:type="spellEnd"/>
            <w:r>
              <w:t xml:space="preserve"> елементи, клумби, бордюри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Пішохідні доріжки, що перетинаються, поєднані не на одному спільному рівні, є в наявності бордюри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8) у темну пору доби наявне вуличне штучне освітлення шляхів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Освітлення відсутнє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9) на прилеглій території та/або шляхах руху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Наявні сходи та пандус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10) уклон пандуса становить не більше ніж 8 відсотків</w:t>
            </w:r>
            <w:r>
              <w:t xml:space="preserve">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</w:t>
            </w:r>
            <w:r>
              <w:t xml:space="preserve">0,9 метра, завершальні частини поручнів </w:t>
            </w:r>
            <w:r>
              <w:lastRenderedPageBreak/>
              <w:t xml:space="preserve">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Пандус є в наявності</w:t>
            </w:r>
          </w:p>
          <w:p w:rsidR="007970F6" w:rsidRDefault="007970F6">
            <w:pPr>
              <w:spacing w:before="120"/>
            </w:pPr>
          </w:p>
          <w:p w:rsidR="007970F6" w:rsidRDefault="007970F6">
            <w:pPr>
              <w:spacing w:before="120"/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11) усі сходи в межах одного маршу однакові за формою, шириною і висотою підйому сходинок, а також мають к</w:t>
            </w:r>
            <w:r>
              <w:t>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:rsidR="007970F6" w:rsidRDefault="007970F6"/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12)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Смуга відсутня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13) у разі коли основний</w:t>
            </w:r>
            <w:r>
              <w:t xml:space="preserve"> вхід є бар’єрним, до доступного входу спрямовують покажчики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Основний вхід безбар’єрний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2. Вхідна група будівлі або споруди: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1) наявна зовнішня тактильна табличка, що містить основну інформацію про</w:t>
            </w:r>
            <w:r>
              <w:t xml:space="preserve"> будівлю </w:t>
            </w:r>
            <w:r>
              <w:lastRenderedPageBreak/>
              <w:t>або споруду,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Табличка є в наявності 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927100" cy="1035050"/>
                  <wp:effectExtent l="0" t="0" r="6350" b="0"/>
                  <wp:docPr id="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1" cy="1035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2) на вході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Наявні сходи і пандус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3) уклон пандуса становить не більше ніж 8 відсотків (на 1 метр довжини по горизонталь</w:t>
            </w:r>
            <w:r>
              <w:t>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</w:t>
            </w:r>
            <w:r>
              <w:t xml:space="preserve">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Пандус відповідає зазначеним критеріям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63600" cy="7874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17" cy="787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4) усі сходи в межах одного маршу однакові за формою, шириною і висотою підйому </w:t>
            </w:r>
            <w:r>
              <w:lastRenderedPageBreak/>
              <w:t>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</w:t>
            </w:r>
            <w:r>
              <w:t>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793750" cy="762000"/>
                  <wp:effectExtent l="0" t="0" r="635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51" cy="762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</w:t>
            </w:r>
            <w:r>
              <w:t>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Смуга </w:t>
            </w:r>
            <w:proofErr w:type="spellStart"/>
            <w:r>
              <w:t>відсутн</w:t>
            </w:r>
            <w:proofErr w:type="spellEnd"/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Двері не  облаштовані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7)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Візуальний контраст не забезпечено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8) ширина дверних отворів стано</w:t>
            </w:r>
            <w:r>
              <w:t>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Ширина дверей більше ніж 0,9 м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>
                  <wp:extent cx="825500" cy="80010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89" cy="800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9)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Пороги відсутні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7250" cy="889000"/>
                  <wp:effectExtent l="0" t="0" r="0" b="635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80" cy="88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10)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Візуальний контраст</w:t>
            </w:r>
            <w:r>
              <w:t xml:space="preserve"> відсутній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11) глибина тамбурів становить не менше ніж 1,8 метра, ширина — не менше ніж 2,2 метра</w:t>
            </w:r>
          </w:p>
          <w:p w:rsidR="007970F6" w:rsidRDefault="007970F6">
            <w:pPr>
              <w:spacing w:before="120"/>
            </w:pPr>
          </w:p>
          <w:p w:rsidR="007970F6" w:rsidRDefault="007970F6">
            <w:pPr>
              <w:spacing w:before="120"/>
            </w:pPr>
          </w:p>
          <w:p w:rsidR="007970F6" w:rsidRDefault="007970F6">
            <w:pPr>
              <w:spacing w:before="120"/>
            </w:pPr>
          </w:p>
          <w:p w:rsidR="007970F6" w:rsidRDefault="007970F6">
            <w:pPr>
              <w:ind w:firstLine="7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Тамбур відповідає зазначеним розмірам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60400" cy="857250"/>
                  <wp:effectExtent l="0" t="0" r="635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70F6" w:rsidRDefault="007970F6">
            <w:pPr>
              <w:spacing w:before="120"/>
            </w:pPr>
          </w:p>
          <w:p w:rsidR="007970F6" w:rsidRDefault="007970F6">
            <w:pPr>
              <w:rPr>
                <w:sz w:val="20"/>
                <w:szCs w:val="20"/>
              </w:rPr>
            </w:pPr>
          </w:p>
          <w:p w:rsidR="007970F6" w:rsidRDefault="007970F6">
            <w:pPr>
              <w:jc w:val="center"/>
              <w:rPr>
                <w:sz w:val="20"/>
                <w:szCs w:val="20"/>
              </w:rPr>
            </w:pPr>
          </w:p>
          <w:p w:rsidR="007970F6" w:rsidRDefault="007970F6">
            <w:pPr>
              <w:jc w:val="center"/>
              <w:rPr>
                <w:sz w:val="20"/>
                <w:szCs w:val="20"/>
              </w:rPr>
            </w:pPr>
          </w:p>
          <w:p w:rsidR="007970F6" w:rsidRDefault="007970F6">
            <w:pPr>
              <w:jc w:val="center"/>
              <w:rPr>
                <w:sz w:val="20"/>
                <w:szCs w:val="20"/>
              </w:rPr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12) майданчик перед входом, а також пандус, </w:t>
            </w:r>
            <w:r>
              <w:lastRenderedPageBreak/>
              <w:t>сходи, підіймальні пристрої для осіб з інвалідністю захищені від атмосферних опадів навісом</w:t>
            </w:r>
          </w:p>
          <w:p w:rsidR="007970F6" w:rsidRDefault="007970F6">
            <w:pPr>
              <w:spacing w:before="120"/>
            </w:pPr>
          </w:p>
          <w:p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Над вхідними дверима навіс відсутній</w:t>
            </w:r>
          </w:p>
          <w:p w:rsidR="007970F6" w:rsidRDefault="007970F6">
            <w:pPr>
              <w:rPr>
                <w:sz w:val="20"/>
                <w:szCs w:val="20"/>
              </w:rPr>
            </w:pPr>
          </w:p>
          <w:p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13) відсутні перешкоди (решітка для витирання ніг із чарунками, розмір однієї із сторін якої становить більше ніж 1,5 сантиметра, рівень верху якої не збігається із рівнем підлоги) і перепади висоти підлоги на вході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Перешкоди відсутні</w:t>
            </w:r>
          </w:p>
          <w:p w:rsidR="007970F6" w:rsidRDefault="007970F6">
            <w:pPr>
              <w:rPr>
                <w:sz w:val="20"/>
                <w:szCs w:val="20"/>
              </w:rPr>
            </w:pPr>
          </w:p>
          <w:p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14) прохід без турнікета, а за наявності — ширина проходу у просвіті становить не менше ніж 1 метр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Прохід без турнікету, ширина проходу 1 метра</w:t>
            </w:r>
          </w:p>
          <w:p w:rsidR="007970F6" w:rsidRDefault="007970F6">
            <w:pPr>
              <w:spacing w:before="120"/>
              <w:rPr>
                <w:sz w:val="20"/>
                <w:szCs w:val="20"/>
              </w:rPr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3. Шляхи руху всередині будівлі або споруди, приміщення, де надаєть</w:t>
            </w:r>
            <w:r>
              <w:rPr>
                <w:b/>
                <w:u w:val="single"/>
              </w:rPr>
              <w:t>ся послуга, допоміжні приміщення: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1) на шляхах руху осіб з інвалідністю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Сходи і пандус в наявності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69950" cy="895350"/>
                  <wp:effectExtent l="0" t="0" r="635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61" cy="895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2) уклон пандуса становить не більше ніж 8 відсотків (на 1 метр довжини по </w:t>
            </w:r>
            <w:r>
              <w:lastRenderedPageBreak/>
              <w:t>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</w:t>
            </w:r>
            <w:r>
              <w:t xml:space="preserve">чнями, поручні пандусів розташовані на висоті 0,7 і 0,9 метра, завершальні частини поручнів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Пандус відповідає зазначеним розмірам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 xml:space="preserve">3) усі сходи в межах одного маршу однакові </w:t>
            </w:r>
            <w:r>
              <w:t>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С</w:t>
            </w:r>
            <w:r>
              <w:t>ходи однакові але не мають маркування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4)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В приміщенні попереджуваль</w:t>
            </w:r>
            <w:r>
              <w:t xml:space="preserve">ні смуги відсутні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5)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Візуальний контраст дверей відсутній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6) ширина дверних отворів становить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Ширина дверних отворів більше 0,9 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7) відсутні пороги, а за наявності — висота кожного елемента порога не перевищує 2 сантиметрів, кути порогів заокруглені, у разі,</w:t>
            </w:r>
            <w:r>
              <w:t xml:space="preserve">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Пороги відсутні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8) наявний візуальний контраст порогів, колон, інших об’єктів і перешкод, що становлять небезпеку для ос</w:t>
            </w:r>
            <w:r>
              <w:t>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Візуальний контраст порогів відсутній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9) шляхи руху оснащені засобами орієнтування та інформування для осіб з порушенням слуху </w:t>
            </w:r>
            <w:r>
              <w:lastRenderedPageBreak/>
              <w:t xml:space="preserve">(зокрема інформаційні термінали, екрани, табло із написами у вигляді рухомого рядка, пристрої для забезпечення інформування в текстовому або </w:t>
            </w:r>
            <w:proofErr w:type="spellStart"/>
            <w:r>
              <w:t>відеоформаті</w:t>
            </w:r>
            <w:proofErr w:type="spellEnd"/>
            <w:r>
              <w:t>, перекладу на</w:t>
            </w:r>
            <w:r>
              <w:t xml:space="preserve"> жестову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Шляхи руху не оснащені засобами орієнтування та </w:t>
            </w:r>
            <w:r>
              <w:lastRenderedPageBreak/>
              <w:t xml:space="preserve">інформування для осіб з порушенням слуху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10) на шляхах руху осіб з інвал</w:t>
            </w:r>
            <w:r>
              <w:t>ідністю немає предметів або горизонтальних перешкод і таких, що 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Перешкоди   наявні</w:t>
            </w:r>
          </w:p>
          <w:p w:rsidR="007970F6" w:rsidRDefault="007970F6"/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11) у туалетах загального користування (за наявності) (окремо для чоловіків і жіно</w:t>
            </w:r>
            <w:r>
              <w:t>к) облаштовано універсальну кабіну, де забезпечено вільний простір для маневрування крісла колісного завдовжки та завширшки не менше ніж 1,5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В туалеті не облаштовано універсальну кабіну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12) окремі санітарно-гігієнічні приміщення</w:t>
            </w:r>
            <w:r>
              <w:t xml:space="preserve"> (із окремим входом) обладнані аварійною (тривожною) </w:t>
            </w:r>
            <w:r>
              <w:lastRenderedPageBreak/>
              <w:t xml:space="preserve">сигналізацією із урахуванням осіб з порушеннями зору та слуху, привод якої розташовано на висоті </w:t>
            </w:r>
            <w:r>
              <w:br/>
              <w:t>0,8—1,1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Окремі санітарно-гігієнічні приміщення відсутні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13)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Санітарно-гігієнічні та інші п</w:t>
            </w:r>
            <w:r>
              <w:t>риміщення відсутні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14) шляхи і напрямки руху,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Шляхи доступні та безпечні, але міжнародним символом не позначені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15) місце розташування пандуса (за наявності) </w:t>
            </w:r>
            <w:r>
              <w:t>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Пандус символом не позначеним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16) на вході/виході встановлено план-схему будівлі, що містить інформацію про розташування приміщень, де надаються послуги, на висоті </w:t>
            </w:r>
            <w:r>
              <w:br/>
              <w:t>1,2—1,6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На вході план-схема в наявності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17)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від підлоги, д</w:t>
            </w:r>
            <w:r>
              <w:t>о якої веде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Схема відсутня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18) </w:t>
            </w:r>
            <w:proofErr w:type="spellStart"/>
            <w:r>
              <w:t>освітленність</w:t>
            </w:r>
            <w:proofErr w:type="spellEnd"/>
            <w:r>
              <w:t xml:space="preserve"> (рівень освітлення) 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Рівень освітлення відповідає нормам і забезпечує безпечний прох</w:t>
            </w:r>
            <w:r>
              <w:t>ід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19) в аудиторіях і кабінетах створено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Рі</w:t>
            </w:r>
            <w:r>
              <w:t>вень освітлення відповідає нормам</w:t>
            </w:r>
          </w:p>
          <w:p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19150" cy="736600"/>
                  <wp:effectExtent l="0" t="0" r="0" b="635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4" cy="736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970F6" w:rsidRDefault="00362D2E">
            <w:pPr>
              <w:spacing w:before="120"/>
            </w:pPr>
            <w:bookmarkStart w:id="0" w:name="_GoBack"/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7250" cy="927100"/>
                  <wp:effectExtent l="0" t="0" r="0" b="635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00" cy="927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20) у приміщенні, де надаються послуги, на шляхах руху осіб з інвалідністю немає предметів або горизонтальних перешкод і таких, що </w:t>
            </w:r>
            <w:r>
              <w:lastRenderedPageBreak/>
              <w:t>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Перешкоди відсутні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21)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Ширина більше 1,8м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22) ширина проходу у приміщенні із обладнанням і меблями станов</w:t>
            </w:r>
            <w:r>
              <w:t>ить не менше ніж 1,2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Ширина проходу не менше 1,2м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23) висота столів, </w:t>
            </w:r>
            <w:proofErr w:type="spellStart"/>
            <w:r>
              <w:t>стійок</w:t>
            </w:r>
            <w:proofErr w:type="spellEnd"/>
            <w:r>
              <w:t>, пониженої секції рецепції становить 0,74—0,8 метра із вільним простором під стільницею заввишки не менше ніж 0,7 метра та завглибшки не менше 0,48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Ви</w:t>
            </w:r>
            <w:r>
              <w:t>сота столів 0,74 м із вільним простором під стільницею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24) шляхи евакуації та інформація про них є доступними для осіб з інвалідністю, насамперед осіб з інвалідністю, 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Шляхи евакуації є доступними, але інформація про них для осіб, що мають порушення зору чи слуху відсутня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25) пристрої сповіщення про надзвичайну ситуацію адаптовані для сприйняття особами з інвалідністю, насамперед особами з</w:t>
            </w:r>
            <w:r>
              <w:t xml:space="preserve"> інвалідністю, </w:t>
            </w:r>
            <w:r>
              <w:lastRenderedPageBreak/>
              <w:t>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Пристрої сповіщення відсутні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120"/>
            </w:pP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1) усі сходи в межах одного маршу </w:t>
            </w:r>
            <w:r>
              <w:t>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Споруда одноповерхова, </w:t>
            </w:r>
            <w:proofErr w:type="spellStart"/>
            <w:r>
              <w:t>напівзаглиблена</w:t>
            </w:r>
            <w:proofErr w:type="spellEnd"/>
            <w:r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Споруда одноповерхова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3) у разі розташування приміщень, де надаються послуги, або допоміжних приміщень вище першого поверху будівлі або споруди обладнані ліфтом, ескалатором, підйомником тощо, доступними для користування осіб з інвалідністю, що </w:t>
            </w:r>
            <w:r>
              <w:lastRenderedPageBreak/>
              <w:t>відповідають вимогам державних ст</w:t>
            </w:r>
            <w:r>
              <w:t>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 xml:space="preserve"> Споруда одноповерхова</w:t>
            </w:r>
          </w:p>
        </w:tc>
      </w:tr>
      <w:tr w:rsidR="00362D2E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</w:pPr>
            <w:r>
              <w:lastRenderedPageBreak/>
              <w:t>4) 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r w:rsidRPr="00236E50">
              <w:rPr>
                <w:highlight w:val="yellow"/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</w:pPr>
            <w:r>
              <w:t xml:space="preserve">5) висота розташування зовнішніх і внутрішніх кнопок керування ліфтом </w:t>
            </w:r>
            <w:r>
              <w:br/>
              <w:t>0,85—1,1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r w:rsidRPr="00236E50">
              <w:rPr>
                <w:highlight w:val="yellow"/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</w:pPr>
            <w:r>
              <w:t>6) процес відкриття/закриття дверей ліфта супроводжується звуковим сигналом і голосовим повідомленням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r w:rsidRPr="00236E50">
              <w:rPr>
                <w:highlight w:val="yellow"/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</w:pPr>
            <w: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r w:rsidRPr="00236E50">
              <w:rPr>
                <w:highlight w:val="yellow"/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</w:pPr>
            <w: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>
              <w:t>продубльовані</w:t>
            </w:r>
            <w:proofErr w:type="spellEnd"/>
            <w:r>
              <w:t xml:space="preserve"> в тактильному вигляді і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62D2E" w:rsidRDefault="00362D2E" w:rsidP="00362D2E">
            <w:r w:rsidRPr="00236E50">
              <w:rPr>
                <w:highlight w:val="yellow"/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lastRenderedPageBreak/>
              <w:t>9) навпроти дверей ліфта наявна інформація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 w:rsidRPr="00362D2E">
              <w:rPr>
                <w:highlight w:val="yellow"/>
                <w:lang w:val="uk-UA"/>
              </w:rPr>
              <w:t>Не застосовується</w:t>
            </w:r>
            <w:r>
              <w:t xml:space="preserve"> </w:t>
            </w:r>
          </w:p>
        </w:tc>
      </w:tr>
      <w:tr w:rsidR="007970F6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10) у разі відсутності ліфта забезпечено можливість для</w:t>
            </w:r>
            <w:r>
              <w:t xml:space="preserve"> надання послуги маломобільним групам населення на 1-му поверсі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120"/>
            </w:pPr>
            <w:r>
              <w:t>Можливість надавати послуги не забезпечено</w:t>
            </w:r>
          </w:p>
        </w:tc>
      </w:tr>
    </w:tbl>
    <w:p w:rsidR="007970F6" w:rsidRDefault="00362D2E">
      <w:pPr>
        <w:spacing w:before="120" w:after="120"/>
      </w:pPr>
      <w:r>
        <w:t xml:space="preserve">Висновок***:  </w:t>
      </w:r>
      <w:r w:rsidRPr="00362D2E">
        <w:rPr>
          <w:b/>
          <w:i/>
          <w:u w:val="single"/>
        </w:rPr>
        <w:t>Об’єкт є бар’єрним</w:t>
      </w:r>
    </w:p>
    <w:p w:rsidR="007970F6" w:rsidRDefault="007970F6">
      <w:pPr>
        <w:spacing w:after="120"/>
        <w:rPr>
          <w:b/>
        </w:rPr>
      </w:pPr>
    </w:p>
    <w:p w:rsidR="007970F6" w:rsidRDefault="00362D2E">
      <w:pPr>
        <w:spacing w:after="120"/>
        <w:jc w:val="center"/>
      </w:pPr>
      <w:r>
        <w:t xml:space="preserve">Кількість осіб з інвалідністю в організації, установі, на підприємстві </w:t>
      </w:r>
    </w:p>
    <w:tbl>
      <w:tblPr>
        <w:tblStyle w:val="aff1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серед працюючих </w:t>
            </w:r>
          </w:p>
        </w:tc>
      </w:tr>
      <w:tr w:rsidR="007970F6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З них</w:t>
            </w:r>
          </w:p>
        </w:tc>
      </w:tr>
      <w:tr w:rsidR="007970F6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7970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proofErr w:type="spellStart"/>
            <w:r>
              <w:t>пересува-ються</w:t>
            </w:r>
            <w:proofErr w:type="spellEnd"/>
            <w: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мають інші функціональні порушення</w:t>
            </w:r>
          </w:p>
        </w:tc>
      </w:tr>
      <w:tr w:rsidR="007970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 xml:space="preserve">Жінки            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 xml:space="preserve">Чоловіки       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 xml:space="preserve">Усього           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:rsidR="007970F6" w:rsidRDefault="007970F6"/>
    <w:p w:rsidR="007970F6" w:rsidRDefault="007970F6"/>
    <w:p w:rsidR="007970F6" w:rsidRDefault="007970F6"/>
    <w:tbl>
      <w:tblPr>
        <w:tblStyle w:val="aff2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з інвалідністю серед відвідувачів/клієнтів/тих, </w:t>
            </w:r>
            <w:r>
              <w:br/>
              <w:t>хто навчається з початку року (у разі наявності)</w:t>
            </w:r>
          </w:p>
        </w:tc>
      </w:tr>
      <w:tr w:rsidR="007970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>Жінки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>Чоловіки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</w:pPr>
            <w: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:rsidR="007970F6" w:rsidRDefault="007970F6">
      <w:pPr>
        <w:spacing w:after="120"/>
      </w:pPr>
    </w:p>
    <w:p w:rsidR="007970F6" w:rsidRDefault="00362D2E">
      <w:pPr>
        <w:spacing w:after="120"/>
      </w:pPr>
      <w:r>
        <w:t>_____________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** У графі “Відповідність критеріям” зазначається: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lastRenderedPageBreak/>
        <w:t>“так” — у разі, коли елемент будівлі або спор</w:t>
      </w:r>
      <w:r w:rsidRPr="00362D2E">
        <w:rPr>
          <w:sz w:val="20"/>
          <w:szCs w:val="20"/>
        </w:rPr>
        <w:t>уди відповідає опису та параметрам критерію безбар’єрності;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“ні” — у разі, коли елемент будівлі або споруди не відповідає опису та параметрам критерію безбар’єрності;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“не застосовується” — у разі, коли в наявній конструкції будівлі або споруди відсутній ел</w:t>
      </w:r>
      <w:r w:rsidRPr="00362D2E">
        <w:rPr>
          <w:sz w:val="20"/>
          <w:szCs w:val="20"/>
        </w:rPr>
        <w:t>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 xml:space="preserve">*** У </w:t>
      </w:r>
      <w:r w:rsidRPr="00362D2E">
        <w:rPr>
          <w:sz w:val="20"/>
          <w:szCs w:val="20"/>
        </w:rPr>
        <w:t>висновку щодо оцінки ступеня безбар’єрності зазначається один із таких варіантів: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“об’єкт є частково безбар’єрним” — у разі, коли забезпечено відп</w:t>
      </w:r>
      <w:r w:rsidRPr="00362D2E">
        <w:rPr>
          <w:sz w:val="20"/>
          <w:szCs w:val="20"/>
        </w:rPr>
        <w:t xml:space="preserve">овідність лише критеріям безбар’єрності із високою критичністю (за умови, що в усіх критеріях із високою </w:t>
      </w:r>
      <w:proofErr w:type="spellStart"/>
      <w:r w:rsidRPr="00362D2E">
        <w:rPr>
          <w:sz w:val="20"/>
          <w:szCs w:val="20"/>
        </w:rPr>
        <w:t>критичиністю</w:t>
      </w:r>
      <w:proofErr w:type="spellEnd"/>
      <w:r w:rsidRPr="00362D2E">
        <w:rPr>
          <w:sz w:val="20"/>
          <w:szCs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:rsidR="007970F6" w:rsidRPr="00362D2E" w:rsidRDefault="00362D2E">
      <w:pPr>
        <w:widowControl w:val="0"/>
        <w:spacing w:after="120"/>
        <w:jc w:val="both"/>
        <w:rPr>
          <w:color w:val="000000"/>
          <w:sz w:val="20"/>
          <w:szCs w:val="20"/>
        </w:rPr>
      </w:pPr>
      <w:bookmarkStart w:id="1" w:name="_heading=h.nph0enrbm62m" w:colFirst="0" w:colLast="0"/>
      <w:bookmarkEnd w:id="1"/>
      <w:r w:rsidRPr="00362D2E">
        <w:rPr>
          <w:color w:val="000000"/>
          <w:sz w:val="20"/>
          <w:szCs w:val="20"/>
        </w:rPr>
        <w:t>“об’єкт є бар’єрним” — у разі, коли не за</w:t>
      </w:r>
      <w:r w:rsidRPr="00362D2E">
        <w:rPr>
          <w:color w:val="000000"/>
          <w:sz w:val="20"/>
          <w:szCs w:val="20"/>
        </w:rPr>
        <w:t>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:rsidR="007970F6" w:rsidRDefault="007970F6">
      <w:pPr>
        <w:widowControl w:val="0"/>
        <w:spacing w:after="120"/>
        <w:rPr>
          <w:color w:val="000000"/>
        </w:rPr>
      </w:pPr>
    </w:p>
    <w:p w:rsidR="00362D2E" w:rsidRDefault="00362D2E">
      <w:pPr>
        <w:widowControl w:val="0"/>
        <w:spacing w:before="120" w:after="120"/>
        <w:rPr>
          <w:color w:val="000000"/>
        </w:rPr>
      </w:pPr>
      <w:r>
        <w:rPr>
          <w:color w:val="000000"/>
        </w:rPr>
        <w:t>Директор Личківського ліцею</w:t>
      </w:r>
    </w:p>
    <w:p w:rsidR="00362D2E" w:rsidRDefault="00362D2E" w:rsidP="00362D2E">
      <w:pPr>
        <w:widowControl w:val="0"/>
        <w:spacing w:before="120"/>
        <w:rPr>
          <w:color w:val="000000"/>
          <w:lang w:val="uk-UA"/>
        </w:rPr>
      </w:pPr>
      <w:r>
        <w:rPr>
          <w:b/>
          <w:color w:val="000000"/>
        </w:rPr>
        <w:t>Тетяна ЗОРІНА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  <w:lang w:val="uk-UA"/>
        </w:rPr>
        <w:t>_______________________</w:t>
      </w:r>
    </w:p>
    <w:p w:rsidR="007970F6" w:rsidRPr="00362D2E" w:rsidRDefault="00362D2E" w:rsidP="00362D2E">
      <w:pPr>
        <w:widowControl w:val="0"/>
        <w:spacing w:before="120"/>
        <w:rPr>
          <w:b/>
          <w:color w:val="000000"/>
          <w:sz w:val="16"/>
          <w:szCs w:val="16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362D2E">
        <w:rPr>
          <w:color w:val="000000"/>
          <w:sz w:val="16"/>
          <w:szCs w:val="16"/>
          <w:lang w:val="uk-UA"/>
        </w:rPr>
        <w:t>(Підпис)</w:t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</w:p>
    <w:p w:rsidR="007970F6" w:rsidRDefault="00362D2E">
      <w:pPr>
        <w:widowControl w:val="0"/>
        <w:spacing w:before="120" w:after="1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</w:t>
      </w:r>
      <w:r>
        <w:rPr>
          <w:b/>
          <w:color w:val="000000"/>
          <w:sz w:val="24"/>
          <w:szCs w:val="24"/>
          <w:lang w:val="uk-UA"/>
        </w:rPr>
        <w:t>29</w:t>
      </w:r>
      <w:r>
        <w:rPr>
          <w:b/>
          <w:color w:val="000000"/>
          <w:sz w:val="24"/>
          <w:szCs w:val="24"/>
        </w:rPr>
        <w:t xml:space="preserve">» </w:t>
      </w:r>
      <w:r>
        <w:rPr>
          <w:b/>
          <w:color w:val="000000"/>
          <w:sz w:val="24"/>
          <w:szCs w:val="24"/>
          <w:lang w:val="uk-UA"/>
        </w:rPr>
        <w:t xml:space="preserve">вересня </w:t>
      </w:r>
      <w:r>
        <w:rPr>
          <w:b/>
          <w:color w:val="000000"/>
          <w:sz w:val="24"/>
          <w:szCs w:val="24"/>
        </w:rPr>
        <w:t xml:space="preserve">2025 р.                                                                              </w:t>
      </w:r>
    </w:p>
    <w:p w:rsidR="007970F6" w:rsidRDefault="007970F6">
      <w:pPr>
        <w:widowControl w:val="0"/>
        <w:rPr>
          <w:b/>
          <w:sz w:val="24"/>
          <w:szCs w:val="24"/>
        </w:rPr>
      </w:pPr>
    </w:p>
    <w:p w:rsidR="00362D2E" w:rsidRPr="00362D2E" w:rsidRDefault="00362D2E">
      <w:pPr>
        <w:widowControl w:val="0"/>
        <w:rPr>
          <w:b/>
          <w:sz w:val="20"/>
          <w:szCs w:val="20"/>
        </w:rPr>
      </w:pPr>
      <w:r w:rsidRPr="00362D2E">
        <w:rPr>
          <w:b/>
          <w:sz w:val="20"/>
          <w:szCs w:val="20"/>
        </w:rPr>
        <w:t xml:space="preserve">Виконавець: </w:t>
      </w:r>
    </w:p>
    <w:p w:rsidR="007970F6" w:rsidRPr="00362D2E" w:rsidRDefault="00362D2E">
      <w:pPr>
        <w:widowControl w:val="0"/>
        <w:rPr>
          <w:b/>
          <w:color w:val="000000"/>
          <w:sz w:val="20"/>
          <w:szCs w:val="20"/>
        </w:rPr>
      </w:pPr>
      <w:r w:rsidRPr="00362D2E">
        <w:rPr>
          <w:b/>
          <w:sz w:val="20"/>
          <w:szCs w:val="20"/>
        </w:rPr>
        <w:t>Валентина ГОНЧАРУК, +38 (068) 257 96 56</w:t>
      </w:r>
    </w:p>
    <w:p w:rsidR="007970F6" w:rsidRDefault="00362D2E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24"/>
          <w:szCs w:val="24"/>
        </w:rPr>
        <w:t>(ПІБ та телефон виконавця)</w:t>
      </w:r>
    </w:p>
    <w:p w:rsidR="007970F6" w:rsidRDefault="007970F6">
      <w:pPr>
        <w:rPr>
          <w:sz w:val="24"/>
          <w:szCs w:val="24"/>
        </w:rPr>
      </w:pPr>
    </w:p>
    <w:sectPr w:rsidR="007970F6">
      <w:headerReference w:type="even" r:id="rId17"/>
      <w:headerReference w:type="default" r:id="rId18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62D2E">
      <w:r>
        <w:separator/>
      </w:r>
    </w:p>
  </w:endnote>
  <w:endnote w:type="continuationSeparator" w:id="0">
    <w:p w:rsidR="00000000" w:rsidRDefault="00362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62D2E">
      <w:r>
        <w:separator/>
      </w:r>
    </w:p>
  </w:footnote>
  <w:footnote w:type="continuationSeparator" w:id="0">
    <w:p w:rsidR="00000000" w:rsidRDefault="00362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0F6" w:rsidRDefault="00362D2E">
    <w:pPr>
      <w:jc w:val="center"/>
    </w:pPr>
    <w:r>
      <w:fldChar w:fldCharType="begin"/>
    </w:r>
    <w:r>
      <w:instrText>PAGE</w:instrText>
    </w:r>
    <w:r>
      <w:fldChar w:fldCharType="end"/>
    </w:r>
  </w:p>
  <w:p w:rsidR="007970F6" w:rsidRDefault="007970F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0F6" w:rsidRDefault="00362D2E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:rsidR="007970F6" w:rsidRDefault="007970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F6"/>
    <w:rsid w:val="00362D2E"/>
    <w:rsid w:val="0079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63FE2"/>
  <w15:docId w15:val="{93471C49-5820-40CF-AB0C-924B02C3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FollowedHyperlink"/>
    <w:basedOn w:val="a0"/>
    <w:uiPriority w:val="99"/>
    <w:unhideWhenUsed/>
    <w:qFormat/>
    <w:rPr>
      <w:color w:val="954F72"/>
      <w:u w:val="single"/>
    </w:rPr>
  </w:style>
  <w:style w:type="character" w:styleId="a5">
    <w:name w:val="annotation reference"/>
    <w:basedOn w:val="a0"/>
    <w:uiPriority w:val="99"/>
    <w:unhideWhenUsed/>
    <w:qFormat/>
    <w:rPr>
      <w:sz w:val="16"/>
      <w:szCs w:val="16"/>
    </w:rPr>
  </w:style>
  <w:style w:type="character" w:styleId="a6">
    <w:name w:val="Hyperlink"/>
    <w:basedOn w:val="a0"/>
    <w:uiPriority w:val="99"/>
    <w:unhideWhenUsed/>
    <w:qFormat/>
    <w:rPr>
      <w:color w:val="0563C1"/>
      <w:u w:val="single"/>
    </w:rPr>
  </w:style>
  <w:style w:type="paragraph" w:styleId="a7">
    <w:name w:val="Balloon Text"/>
    <w:link w:val="a8"/>
    <w:uiPriority w:val="99"/>
    <w:unhideWhenUsed/>
    <w:qFormat/>
    <w:rPr>
      <w:rFonts w:ascii="Segoe UI" w:hAnsi="Segoe UI" w:cs="Segoe UI"/>
      <w:sz w:val="18"/>
      <w:szCs w:val="18"/>
    </w:rPr>
  </w:style>
  <w:style w:type="paragraph" w:styleId="a9">
    <w:name w:val="annotation text"/>
    <w:link w:val="aa"/>
    <w:uiPriority w:val="99"/>
    <w:unhideWhenUsed/>
    <w:qFormat/>
    <w:rPr>
      <w:sz w:val="20"/>
    </w:rPr>
  </w:style>
  <w:style w:type="paragraph" w:styleId="ab">
    <w:name w:val="annotation subject"/>
    <w:basedOn w:val="a9"/>
    <w:next w:val="a9"/>
    <w:link w:val="ac"/>
    <w:uiPriority w:val="99"/>
    <w:unhideWhenUsed/>
    <w:qFormat/>
    <w:rPr>
      <w:b/>
      <w:bCs/>
    </w:rPr>
  </w:style>
  <w:style w:type="paragraph" w:styleId="ad">
    <w:name w:val="header"/>
    <w:link w:val="ae"/>
    <w:uiPriority w:val="99"/>
    <w:qFormat/>
    <w:pPr>
      <w:tabs>
        <w:tab w:val="center" w:pos="4153"/>
        <w:tab w:val="right" w:pos="8306"/>
      </w:tabs>
    </w:pPr>
  </w:style>
  <w:style w:type="paragraph" w:styleId="af">
    <w:name w:val="footer"/>
    <w:link w:val="af0"/>
    <w:uiPriority w:val="99"/>
    <w:qFormat/>
    <w:pPr>
      <w:tabs>
        <w:tab w:val="center" w:pos="4153"/>
        <w:tab w:val="right" w:pos="8306"/>
      </w:tabs>
    </w:pPr>
  </w:style>
  <w:style w:type="paragraph" w:styleId="af1">
    <w:name w:val="Normal (Web)"/>
    <w:uiPriority w:val="99"/>
    <w:unhideWhenUsed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styleId="af2">
    <w:name w:val="Table Grid"/>
    <w:basedOn w:val="a1"/>
    <w:uiPriority w:val="39"/>
    <w:qFormat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Нормальний текст"/>
    <w:qFormat/>
    <w:pPr>
      <w:spacing w:before="120"/>
      <w:ind w:firstLine="567"/>
    </w:pPr>
  </w:style>
  <w:style w:type="paragraph" w:customStyle="1" w:styleId="af4">
    <w:name w:val="Шапка документу"/>
    <w:qFormat/>
    <w:pPr>
      <w:keepNext/>
      <w:keepLines/>
      <w:spacing w:after="240"/>
      <w:ind w:left="4536"/>
      <w:jc w:val="center"/>
    </w:pPr>
  </w:style>
  <w:style w:type="paragraph" w:customStyle="1" w:styleId="10">
    <w:name w:val="Підпис1"/>
    <w:qFormat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f5">
    <w:name w:val="Глава документу"/>
    <w:qFormat/>
    <w:pPr>
      <w:keepNext/>
      <w:keepLines/>
      <w:spacing w:before="120" w:after="120"/>
      <w:jc w:val="center"/>
    </w:pPr>
  </w:style>
  <w:style w:type="paragraph" w:customStyle="1" w:styleId="af6">
    <w:name w:val="Герб"/>
    <w:qFormat/>
    <w:pPr>
      <w:keepNext/>
      <w:keepLines/>
      <w:jc w:val="center"/>
    </w:pPr>
    <w:rPr>
      <w:sz w:val="144"/>
      <w:lang w:val="en-US"/>
    </w:rPr>
  </w:style>
  <w:style w:type="paragraph" w:customStyle="1" w:styleId="af7">
    <w:name w:val="Установа"/>
    <w:qFormat/>
    <w:pPr>
      <w:keepNext/>
      <w:keepLines/>
      <w:spacing w:before="120"/>
      <w:jc w:val="center"/>
    </w:pPr>
    <w:rPr>
      <w:b/>
      <w:sz w:val="40"/>
    </w:rPr>
  </w:style>
  <w:style w:type="paragraph" w:customStyle="1" w:styleId="af8">
    <w:name w:val="Вид документа"/>
    <w:basedOn w:val="af7"/>
    <w:qFormat/>
    <w:pPr>
      <w:spacing w:before="360" w:after="240"/>
    </w:pPr>
    <w:rPr>
      <w:spacing w:val="20"/>
      <w:sz w:val="26"/>
    </w:rPr>
  </w:style>
  <w:style w:type="paragraph" w:customStyle="1" w:styleId="af9">
    <w:name w:val="Час та місце"/>
    <w:qFormat/>
    <w:pPr>
      <w:keepNext/>
      <w:keepLines/>
      <w:spacing w:before="120" w:after="240"/>
      <w:jc w:val="center"/>
    </w:pPr>
  </w:style>
  <w:style w:type="paragraph" w:customStyle="1" w:styleId="afa">
    <w:name w:val="Назва документа"/>
    <w:next w:val="af3"/>
    <w:qFormat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qFormat/>
    <w:pPr>
      <w:ind w:firstLine="567"/>
      <w:jc w:val="both"/>
    </w:pPr>
  </w:style>
  <w:style w:type="paragraph" w:customStyle="1" w:styleId="ShapkaDocumentu">
    <w:name w:val="Shapka Documentu"/>
    <w:basedOn w:val="NormalText"/>
    <w:qFormat/>
    <w:pPr>
      <w:keepNext/>
      <w:keepLines/>
      <w:spacing w:after="240"/>
      <w:ind w:left="3969" w:firstLine="0"/>
      <w:jc w:val="center"/>
    </w:pPr>
  </w:style>
  <w:style w:type="paragraph" w:styleId="afb">
    <w:name w:val="List Paragraph"/>
    <w:uiPriority w:val="34"/>
    <w:qFormat/>
    <w:pPr>
      <w:ind w:left="720"/>
      <w:contextualSpacing/>
    </w:pPr>
    <w:rPr>
      <w:sz w:val="20"/>
    </w:rPr>
  </w:style>
  <w:style w:type="paragraph" w:customStyle="1" w:styleId="rvps2">
    <w:name w:val="rvps2"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qFormat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qFormat/>
    <w:rPr>
      <w:b/>
      <w:sz w:val="20"/>
      <w:lang w:eastAsia="ru-RU"/>
    </w:rPr>
  </w:style>
  <w:style w:type="character" w:customStyle="1" w:styleId="11">
    <w:name w:val="Заголовок 1 Знак"/>
    <w:basedOn w:val="a0"/>
    <w:qFormat/>
    <w:rPr>
      <w:b/>
      <w:smallCaps/>
    </w:rPr>
  </w:style>
  <w:style w:type="character" w:customStyle="1" w:styleId="20">
    <w:name w:val="Заголовок 2 Знак"/>
    <w:basedOn w:val="a0"/>
    <w:qFormat/>
    <w:rPr>
      <w:b/>
    </w:rPr>
  </w:style>
  <w:style w:type="character" w:customStyle="1" w:styleId="30">
    <w:name w:val="Заголовок 3 Знак"/>
    <w:basedOn w:val="a0"/>
    <w:qFormat/>
    <w:rPr>
      <w:b/>
      <w:i/>
    </w:rPr>
  </w:style>
  <w:style w:type="character" w:customStyle="1" w:styleId="40">
    <w:name w:val="Заголовок 4 Знак"/>
    <w:basedOn w:val="a0"/>
    <w:qFormat/>
  </w:style>
  <w:style w:type="table" w:customStyle="1" w:styleId="TableNormal0">
    <w:name w:val="Table Normal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c">
    <w:name w:val="Заголовок Знак"/>
    <w:basedOn w:val="a0"/>
    <w:qFormat/>
    <w:rPr>
      <w:b/>
      <w:sz w:val="72"/>
      <w:szCs w:val="72"/>
      <w:lang w:eastAsia="ru-RU"/>
    </w:rPr>
  </w:style>
  <w:style w:type="table" w:customStyle="1" w:styleId="TableNormal1">
    <w:name w:val="Table Normal1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Текст выноски Знак"/>
    <w:basedOn w:val="a0"/>
    <w:link w:val="a7"/>
    <w:uiPriority w:val="99"/>
    <w:qFormat/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qFormat/>
  </w:style>
  <w:style w:type="character" w:customStyle="1" w:styleId="ae">
    <w:name w:val="Верхний колонтитул Знак"/>
    <w:basedOn w:val="a0"/>
    <w:link w:val="ad"/>
    <w:uiPriority w:val="99"/>
    <w:qFormat/>
  </w:style>
  <w:style w:type="paragraph" w:customStyle="1" w:styleId="msonormal0">
    <w:name w:val="mso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qFormat/>
    <w:pPr>
      <w:spacing w:before="100" w:beforeAutospacing="1" w:after="100" w:afterAutospacing="1"/>
      <w:textAlignment w:val="center"/>
    </w:pPr>
  </w:style>
  <w:style w:type="paragraph" w:customStyle="1" w:styleId="xl70">
    <w:name w:val="xl70"/>
    <w:qFormat/>
    <w:pPr>
      <w:spacing w:before="100" w:beforeAutospacing="1" w:after="100" w:afterAutospacing="1"/>
      <w:textAlignment w:val="top"/>
    </w:pPr>
  </w:style>
  <w:style w:type="paragraph" w:customStyle="1" w:styleId="xl71">
    <w:name w:val="xl7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qFormat/>
    <w:pP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aa">
    <w:name w:val="Текст примечания Знак"/>
    <w:basedOn w:val="a0"/>
    <w:link w:val="a9"/>
    <w:uiPriority w:val="99"/>
    <w:qFormat/>
    <w:rPr>
      <w:sz w:val="20"/>
      <w:lang w:eastAsia="ru-RU"/>
    </w:rPr>
  </w:style>
  <w:style w:type="character" w:customStyle="1" w:styleId="ac">
    <w:name w:val="Тема примечания Знак"/>
    <w:basedOn w:val="aa"/>
    <w:link w:val="ab"/>
    <w:uiPriority w:val="99"/>
    <w:qFormat/>
    <w:rPr>
      <w:b/>
      <w:bCs/>
      <w:sz w:val="20"/>
      <w:lang w:eastAsia="ru-RU"/>
    </w:rPr>
  </w:style>
  <w:style w:type="paragraph" w:customStyle="1" w:styleId="st7">
    <w:name w:val="st7"/>
    <w:uiPriority w:val="99"/>
    <w:qFormat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zh-CN" w:eastAsia="uk-UA"/>
    </w:rPr>
  </w:style>
  <w:style w:type="paragraph" w:customStyle="1" w:styleId="st14">
    <w:name w:val="st14"/>
    <w:uiPriority w:val="99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zh-CN" w:eastAsia="uk-UA"/>
    </w:rPr>
  </w:style>
  <w:style w:type="character" w:customStyle="1" w:styleId="st42">
    <w:name w:val="st42"/>
    <w:uiPriority w:val="99"/>
    <w:qFormat/>
    <w:rPr>
      <w:color w:val="000000"/>
    </w:rPr>
  </w:style>
  <w:style w:type="character" w:customStyle="1" w:styleId="st161">
    <w:name w:val="st161"/>
    <w:uiPriority w:val="99"/>
    <w:qFormat/>
    <w:rPr>
      <w:b/>
      <w:bCs/>
      <w:color w:val="000000"/>
      <w:sz w:val="28"/>
      <w:szCs w:val="28"/>
    </w:rPr>
  </w:style>
  <w:style w:type="character" w:customStyle="1" w:styleId="afd">
    <w:name w:val="Подзаголовок Знак"/>
    <w:basedOn w:val="a0"/>
    <w:qFormat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12">
    <w:name w:val="Рецензия1"/>
    <w:hidden/>
    <w:uiPriority w:val="99"/>
    <w:semiHidden/>
    <w:qFormat/>
    <w:rPr>
      <w:lang w:val="uk-UA" w:eastAsia="uk-UA"/>
    </w:rPr>
  </w:style>
  <w:style w:type="paragraph" w:customStyle="1" w:styleId="rvps6">
    <w:name w:val="rvps6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qFormat/>
  </w:style>
  <w:style w:type="paragraph" w:customStyle="1" w:styleId="rvps7">
    <w:name w:val="rvps7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qFormat/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buz02@mag-osvita.dp.ua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PpnUH0NZOWYN/+7YTLQDdo3qdg==">CgMxLjAyDmgubnBoMGVucmJtNjJtOAByITFvM2JkV2Q2YklfUktqZy1HZzZPQTdkVTYzTm94MUVQZA==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2622</Words>
  <Characters>14951</Characters>
  <Application>Microsoft Office Word</Application>
  <DocSecurity>0</DocSecurity>
  <Lines>124</Lines>
  <Paragraphs>35</Paragraphs>
  <ScaleCrop>false</ScaleCrop>
  <Company/>
  <LinksUpToDate>false</LinksUpToDate>
  <CharactersWithSpaces>17538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Сонце</cp:lastModifiedBy>
  <cp:revision>2</cp:revision>
  <dcterms:created xsi:type="dcterms:W3CDTF">2025-03-20T15:55:00Z</dcterms:created>
  <dcterms:modified xsi:type="dcterms:W3CDTF">2025-09-22T08:46:00Z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C72A6AA79B4144E68DC235D03F0A3A1B_12</vt:lpwstr>
  </property>
</Properties>
</file>