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1D7E81D" w14:textId="7E59D06E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r w:rsidR="006B2DC2">
              <w:rPr>
                <w:sz w:val="28"/>
                <w:szCs w:val="28"/>
              </w:rPr>
              <w:t xml:space="preserve"> </w:t>
            </w:r>
            <w:r w:rsidR="006B2DC2" w:rsidRPr="00381458">
              <w:rPr>
                <w:i/>
                <w:sz w:val="28"/>
                <w:szCs w:val="28"/>
                <w:u w:val="single"/>
              </w:rPr>
              <w:t xml:space="preserve">Приорільська </w:t>
            </w:r>
            <w:r w:rsidR="00810C0D">
              <w:rPr>
                <w:i/>
                <w:sz w:val="28"/>
                <w:szCs w:val="28"/>
                <w:u w:val="single"/>
              </w:rPr>
              <w:t>селищна бібліотека філія комунального закладу Личківська публічна бібліотека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3C62BB75" w:rsidR="00C96A29" w:rsidRPr="006B6C31" w:rsidRDefault="00C96A29" w:rsidP="001A26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="001A2618">
              <w:rPr>
                <w:sz w:val="28"/>
                <w:szCs w:val="28"/>
              </w:rPr>
              <w:t xml:space="preserve"> об’єкта фізичного оточення  </w:t>
            </w:r>
            <w:r w:rsidR="001A2618" w:rsidRPr="00381458">
              <w:rPr>
                <w:i/>
                <w:sz w:val="28"/>
                <w:szCs w:val="28"/>
                <w:u w:val="single"/>
              </w:rPr>
              <w:t>культурно-освітній заклад та обєкт фізичного оточення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60B118FE" w:rsidR="00C96A29" w:rsidRPr="006B6C31" w:rsidRDefault="00C96A29" w:rsidP="006B2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тип населеного пункту (місто/селище/село) </w:t>
            </w:r>
            <w:r w:rsidR="006B2DC2">
              <w:rPr>
                <w:sz w:val="28"/>
                <w:szCs w:val="28"/>
              </w:rPr>
              <w:t xml:space="preserve"> </w:t>
            </w:r>
            <w:r w:rsidR="006B2DC2" w:rsidRPr="00381458">
              <w:rPr>
                <w:i/>
                <w:sz w:val="28"/>
                <w:szCs w:val="28"/>
                <w:u w:val="single"/>
              </w:rPr>
              <w:t>селище</w:t>
            </w:r>
            <w:r w:rsidR="006B2DC2" w:rsidRPr="006B2DC2"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49C01363" w:rsidR="00C96A29" w:rsidRPr="006B6C31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6B2DC2">
              <w:rPr>
                <w:sz w:val="28"/>
                <w:szCs w:val="28"/>
              </w:rPr>
              <w:t xml:space="preserve"> населеного пункту </w:t>
            </w:r>
            <w:r w:rsidR="006B2DC2" w:rsidRPr="00381458">
              <w:rPr>
                <w:i/>
                <w:sz w:val="28"/>
                <w:szCs w:val="28"/>
                <w:u w:val="single"/>
              </w:rPr>
              <w:t>Приорільське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29573C7" w14:textId="5A418F6D" w:rsidR="00C96A29" w:rsidRPr="00381458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вулиці, бульвару, </w:t>
            </w:r>
            <w:r w:rsidR="00381458">
              <w:rPr>
                <w:sz w:val="28"/>
                <w:szCs w:val="28"/>
              </w:rPr>
              <w:t xml:space="preserve">проспекту, провулку, площі   </w:t>
            </w:r>
            <w:r w:rsidR="006B2DC2" w:rsidRPr="00381458">
              <w:rPr>
                <w:i/>
                <w:sz w:val="28"/>
                <w:szCs w:val="28"/>
                <w:u w:val="single"/>
              </w:rPr>
              <w:t>вул.Шкільна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43FFCF11" w:rsidR="00C96A29" w:rsidRPr="006B6C31" w:rsidRDefault="006B2DC2" w:rsidP="006B2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будинку </w:t>
            </w:r>
            <w:r w:rsidRPr="00381458">
              <w:rPr>
                <w:i/>
                <w:sz w:val="28"/>
                <w:szCs w:val="28"/>
                <w:u w:val="single"/>
              </w:rPr>
              <w:t>11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782F04DA" w:rsidR="00C96A29" w:rsidRPr="006B2DC2" w:rsidRDefault="006B2DC2" w:rsidP="00381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Кількість поверхів </w:t>
            </w:r>
            <w:r w:rsidR="006D6B74" w:rsidRPr="00381458">
              <w:rPr>
                <w:i/>
                <w:sz w:val="28"/>
                <w:szCs w:val="28"/>
                <w:u w:val="single"/>
              </w:rPr>
              <w:t xml:space="preserve">1 </w:t>
            </w:r>
            <w:r w:rsidR="00381458">
              <w:rPr>
                <w:i/>
                <w:sz w:val="28"/>
                <w:szCs w:val="28"/>
                <w:u w:val="single"/>
              </w:rPr>
              <w:t>(</w:t>
            </w:r>
            <w:r w:rsidR="006D6B74" w:rsidRPr="00381458">
              <w:rPr>
                <w:i/>
                <w:sz w:val="28"/>
                <w:szCs w:val="28"/>
                <w:u w:val="single"/>
              </w:rPr>
              <w:t>на 2 поверсі</w:t>
            </w:r>
            <w:r w:rsidR="00381458">
              <w:rPr>
                <w:sz w:val="28"/>
                <w:szCs w:val="28"/>
              </w:rPr>
              <w:t>)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2F3818DB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(державна/ко</w:t>
            </w:r>
            <w:r w:rsidR="006B2DC2">
              <w:rPr>
                <w:sz w:val="28"/>
                <w:szCs w:val="28"/>
              </w:rPr>
              <w:t xml:space="preserve">мунальна/приватна) </w:t>
            </w:r>
            <w:r w:rsidR="006B2DC2" w:rsidRPr="00381458">
              <w:rPr>
                <w:i/>
                <w:sz w:val="28"/>
                <w:szCs w:val="28"/>
                <w:u w:val="single"/>
              </w:rPr>
              <w:t>комунальна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79DDB1F" w14:textId="237DCAD8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6AD66398" w:rsidR="008D5074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Посилання на фото- та відеома</w:t>
            </w:r>
            <w:r w:rsidR="008D5074">
              <w:rPr>
                <w:sz w:val="28"/>
                <w:szCs w:val="28"/>
              </w:rPr>
              <w:t xml:space="preserve">теріали  </w:t>
            </w:r>
            <w:hyperlink r:id="rId8" w:history="1">
              <w:r w:rsidR="008D5074" w:rsidRPr="0021774B">
                <w:rPr>
                  <w:rStyle w:val="af5"/>
                  <w:szCs w:val="28"/>
                </w:rPr>
                <w:t>https://www.facebook.com/photo?fbid=891513833883156&amp;set=a.113107878390426</w:t>
              </w:r>
            </w:hyperlink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0E5BEC0F" w:rsidR="00C96A29" w:rsidRPr="006B6C31" w:rsidRDefault="00C96A29" w:rsidP="00793D06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="006B2DC2">
              <w:rPr>
                <w:sz w:val="28"/>
                <w:szCs w:val="28"/>
              </w:rPr>
              <w:t xml:space="preserve"> </w:t>
            </w:r>
            <w:r w:rsidR="0048735D">
              <w:rPr>
                <w:i/>
                <w:sz w:val="28"/>
                <w:szCs w:val="28"/>
                <w:u w:val="single"/>
              </w:rPr>
              <w:t xml:space="preserve"> 01.04</w:t>
            </w:r>
            <w:r w:rsidR="00793D06">
              <w:rPr>
                <w:i/>
                <w:sz w:val="28"/>
                <w:szCs w:val="28"/>
                <w:u w:val="single"/>
              </w:rPr>
              <w:t>.202</w:t>
            </w:r>
            <w:r w:rsidR="00810C0D">
              <w:rPr>
                <w:i/>
                <w:sz w:val="28"/>
                <w:szCs w:val="28"/>
                <w:u w:val="single"/>
              </w:rPr>
              <w:t>6</w:t>
            </w:r>
          </w:p>
        </w:tc>
      </w:tr>
    </w:tbl>
    <w:p w14:paraId="6318C49A" w14:textId="77777777" w:rsidR="00C96A29" w:rsidRPr="006B6C31" w:rsidRDefault="00C96A29" w:rsidP="008D5074">
      <w:pPr>
        <w:pStyle w:val="a5"/>
        <w:spacing w:after="120"/>
        <w:ind w:firstLine="0"/>
        <w:rPr>
          <w:szCs w:val="28"/>
        </w:rPr>
      </w:pPr>
    </w:p>
    <w:tbl>
      <w:tblPr>
        <w:tblW w:w="5939" w:type="pct"/>
        <w:tblInd w:w="-1134" w:type="dxa"/>
        <w:tblLook w:val="0600" w:firstRow="0" w:lastRow="0" w:firstColumn="0" w:lastColumn="0" w:noHBand="1" w:noVBand="1"/>
      </w:tblPr>
      <w:tblGrid>
        <w:gridCol w:w="4964"/>
        <w:gridCol w:w="1872"/>
        <w:gridCol w:w="1892"/>
        <w:gridCol w:w="2284"/>
      </w:tblGrid>
      <w:tr w:rsidR="00C96A29" w:rsidRPr="006B6C31" w14:paraId="1800B055" w14:textId="77777777" w:rsidTr="00017A90">
        <w:trPr>
          <w:trHeight w:val="20"/>
          <w:tblHeader/>
        </w:trPr>
        <w:tc>
          <w:tcPr>
            <w:tcW w:w="225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8D5074" w:rsidRDefault="00C96A29" w:rsidP="002E2C3F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8D5074">
              <w:rPr>
                <w:sz w:val="24"/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8D5074" w:rsidRDefault="00C96A29" w:rsidP="002E2C3F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8D5074">
              <w:rPr>
                <w:sz w:val="24"/>
                <w:szCs w:val="28"/>
              </w:rPr>
              <w:t>Критичність*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8D5074" w:rsidRDefault="00C96A29" w:rsidP="002E2C3F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8D5074">
              <w:rPr>
                <w:sz w:val="24"/>
                <w:szCs w:val="28"/>
              </w:rPr>
              <w:t>Відповідність критеріям**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8D5074" w:rsidRDefault="00C96A29" w:rsidP="002E2C3F">
            <w:pPr>
              <w:spacing w:before="120" w:after="120"/>
              <w:jc w:val="center"/>
              <w:rPr>
                <w:sz w:val="24"/>
                <w:szCs w:val="28"/>
              </w:rPr>
            </w:pPr>
            <w:r w:rsidRPr="008D5074">
              <w:rPr>
                <w:sz w:val="24"/>
                <w:szCs w:val="28"/>
              </w:rPr>
              <w:t>Фотоматеріали та коментарі</w:t>
            </w:r>
          </w:p>
        </w:tc>
      </w:tr>
      <w:tr w:rsidR="00C96A29" w:rsidRPr="006B6C31" w14:paraId="3819CC79" w14:textId="77777777" w:rsidTr="00017A90">
        <w:trPr>
          <w:trHeight w:val="20"/>
        </w:trPr>
        <w:tc>
          <w:tcPr>
            <w:tcW w:w="225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3214E5" w:rsidRDefault="00C96A29" w:rsidP="002E2C3F">
            <w:pPr>
              <w:spacing w:before="120"/>
              <w:rPr>
                <w:b/>
                <w:szCs w:val="28"/>
              </w:rPr>
            </w:pPr>
            <w:r w:rsidRPr="003214E5">
              <w:rPr>
                <w:b/>
                <w:szCs w:val="28"/>
              </w:rPr>
              <w:t>1. Шляхи руху до будівлі або споруди:</w:t>
            </w:r>
          </w:p>
        </w:tc>
        <w:tc>
          <w:tcPr>
            <w:tcW w:w="85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37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A746193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28DB1431" w:rsidR="00C96A29" w:rsidRPr="006B6C31" w:rsidRDefault="006D6B74" w:rsidP="006D6B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6E557C54" w:rsidR="00C96A29" w:rsidRPr="006B6C31" w:rsidRDefault="003214E5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паркувальні місця для осіб з інвалідністю</w:t>
            </w:r>
            <w:r>
              <w:rPr>
                <w:szCs w:val="28"/>
              </w:rPr>
              <w:t xml:space="preserve"> відсутнє</w:t>
            </w:r>
          </w:p>
        </w:tc>
      </w:tr>
      <w:tr w:rsidR="00C96A29" w:rsidRPr="006B6C31" w14:paraId="01664C0B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</w:t>
            </w:r>
            <w:r w:rsidRPr="006B6C31">
              <w:rPr>
                <w:szCs w:val="28"/>
              </w:rPr>
              <w:lastRenderedPageBreak/>
              <w:t xml:space="preserve">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bookmarkStart w:id="0" w:name="_GoBack"/>
            <w:bookmarkEnd w:id="0"/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7B39507A" w:rsidR="00C96A29" w:rsidRPr="006B6C31" w:rsidRDefault="006D6B74" w:rsidP="006D6B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7FE6E7E1" w:rsidR="00C96A29" w:rsidRPr="006B6C31" w:rsidRDefault="003214E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відсутнє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CFD345F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поряд із входом облаштована велопарковка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55968FFC" w:rsidR="00C96A29" w:rsidRPr="006B6C31" w:rsidRDefault="006D6B74" w:rsidP="006D6B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716152D8" w:rsidR="00C96A29" w:rsidRPr="006B6C31" w:rsidRDefault="003214E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Велопаркова відсутня</w:t>
            </w:r>
          </w:p>
        </w:tc>
      </w:tr>
      <w:tr w:rsidR="00C96A29" w:rsidRPr="006B6C31" w14:paraId="3C0F2398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1148581C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20266F7D" w:rsidR="00C96A29" w:rsidRPr="006B6C31" w:rsidRDefault="003214E5" w:rsidP="003214E5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</w:tr>
      <w:tr w:rsidR="00C96A29" w:rsidRPr="006B6C31" w14:paraId="05B6FE23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5228FB85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1566E128" w:rsidR="00C96A29" w:rsidRPr="006B6C31" w:rsidRDefault="003214E5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становить не менше ніж 1,8 метра</w:t>
            </w:r>
          </w:p>
        </w:tc>
      </w:tr>
      <w:tr w:rsidR="00C96A29" w:rsidRPr="006B6C31" w14:paraId="3F704FE3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15AF9C4A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279C7BA9" w:rsidR="00C96A29" w:rsidRPr="006B6C31" w:rsidRDefault="003214E5" w:rsidP="003214E5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Покриття з вибоїнами і можуть</w:t>
            </w:r>
            <w:r w:rsidRPr="006B6C31">
              <w:rPr>
                <w:szCs w:val="28"/>
              </w:rPr>
              <w:t xml:space="preserve"> перешкоджа</w:t>
            </w:r>
            <w:r>
              <w:rPr>
                <w:szCs w:val="28"/>
              </w:rPr>
              <w:t>ти</w:t>
            </w:r>
            <w:r w:rsidRPr="006B6C31">
              <w:rPr>
                <w:szCs w:val="28"/>
              </w:rPr>
              <w:t xml:space="preserve"> пересуванню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</w:tr>
      <w:tr w:rsidR="00C96A29" w:rsidRPr="006B6C31" w14:paraId="2341784D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5BAEEFF0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391507A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3D78261F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3DD39084" w:rsidR="00C96A29" w:rsidRPr="006B6C31" w:rsidRDefault="003214E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Вуличне освітлення у темну пору відсутнє</w:t>
            </w:r>
          </w:p>
        </w:tc>
      </w:tr>
      <w:tr w:rsidR="00C96A29" w:rsidRPr="006B6C31" w14:paraId="11D07068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378998" w14:textId="77777777" w:rsidR="00C96A29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  <w:p w14:paraId="72A12611" w14:textId="2B9E9D64" w:rsidR="00D359A2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4EAB123E" w:rsidR="00C96A29" w:rsidRPr="006B6C31" w:rsidRDefault="003214E5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відсутні сходи</w:t>
            </w:r>
          </w:p>
        </w:tc>
      </w:tr>
      <w:tr w:rsidR="00C96A29" w:rsidRPr="006B6C31" w14:paraId="538D678C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</w:t>
            </w:r>
            <w:r w:rsidRPr="006B6C31">
              <w:rPr>
                <w:szCs w:val="28"/>
              </w:rPr>
              <w:lastRenderedPageBreak/>
              <w:t xml:space="preserve">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70277714" w:rsidR="00C96A29" w:rsidRPr="006B6C31" w:rsidRDefault="006D6B74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0A00DEBB" w:rsidR="00C96A29" w:rsidRPr="006B6C31" w:rsidRDefault="00C96A29" w:rsidP="003214E5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214E5">
              <w:rPr>
                <w:sz w:val="22"/>
                <w:szCs w:val="28"/>
              </w:rPr>
              <w:t>Не застосовується</w:t>
            </w:r>
          </w:p>
        </w:tc>
      </w:tr>
      <w:tr w:rsidR="00C96A29" w:rsidRPr="006B6C31" w14:paraId="2CA0B2CE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07FDB53F" w:rsidR="00C96A29" w:rsidRPr="006B6C31" w:rsidRDefault="003214E5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4AD2FA14" w:rsidR="00C96A29" w:rsidRPr="006B6C31" w:rsidRDefault="003214E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4464C9F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558C5256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11154F78" w:rsidR="00C96A29" w:rsidRPr="006B6C31" w:rsidRDefault="003214E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Тактильна смуга відсутня</w:t>
            </w:r>
          </w:p>
        </w:tc>
      </w:tr>
      <w:tr w:rsidR="00C96A29" w:rsidRPr="006B6C31" w14:paraId="76935CCF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10542CA9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12A8327C" w:rsidR="00C96A29" w:rsidRPr="006B6C31" w:rsidRDefault="003214E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Міжнародний символ відсутній</w:t>
            </w:r>
          </w:p>
        </w:tc>
      </w:tr>
      <w:tr w:rsidR="00C96A29" w:rsidRPr="006B6C31" w14:paraId="436F8496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3214E5" w:rsidRDefault="00C96A29" w:rsidP="002E2C3F">
            <w:pPr>
              <w:spacing w:before="120"/>
              <w:rPr>
                <w:b/>
                <w:szCs w:val="28"/>
              </w:rPr>
            </w:pPr>
            <w:r w:rsidRPr="003214E5">
              <w:rPr>
                <w:b/>
                <w:szCs w:val="28"/>
              </w:rPr>
              <w:t>2. Вхідна група будівлі або споруди: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31450EA7" w:rsidR="00C96A29" w:rsidRPr="006B6C31" w:rsidRDefault="00C96A29" w:rsidP="00D359A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CF66600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4DF56E09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1364469F" w:rsidR="00C96A29" w:rsidRPr="006B6C31" w:rsidRDefault="003214E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Тактильна табличка відсутня</w:t>
            </w:r>
          </w:p>
        </w:tc>
      </w:tr>
      <w:tr w:rsidR="00C96A29" w:rsidRPr="006B6C31" w14:paraId="1938F0C0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88FC05" w14:textId="77777777" w:rsidR="00C96A29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  <w:p w14:paraId="6E64A133" w14:textId="2E32A743" w:rsidR="00D359A2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4196CD35" w:rsidR="00C96A29" w:rsidRPr="006B6C31" w:rsidRDefault="00017A90" w:rsidP="002E2C3F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19EAE6A1" wp14:editId="13F1E2CF">
                  <wp:extent cx="1170305" cy="117030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14:paraId="44160E1C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FA14AD" w14:textId="77777777" w:rsidR="00C96A29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  <w:p w14:paraId="62CDCA35" w14:textId="77FD9F7A" w:rsidR="00D359A2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13EB668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6D6B74" w:rsidRPr="00D359A2">
              <w:rPr>
                <w:sz w:val="22"/>
                <w:szCs w:val="28"/>
              </w:rPr>
              <w:t>Пандус відсутній</w:t>
            </w:r>
          </w:p>
        </w:tc>
      </w:tr>
      <w:tr w:rsidR="00C96A29" w:rsidRPr="006B6C31" w14:paraId="0AF32F3B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61EA9440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2ADA002F" w:rsidR="00C96A29" w:rsidRPr="006B6C31" w:rsidRDefault="00C96A29" w:rsidP="00017A9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>
              <w:rPr>
                <w:szCs w:val="28"/>
              </w:rPr>
              <w:t xml:space="preserve">Контрасне маркування </w:t>
            </w:r>
            <w:r w:rsidR="00017A90" w:rsidRPr="00915E4A">
              <w:rPr>
                <w:noProof/>
                <w:sz w:val="24"/>
                <w:szCs w:val="24"/>
              </w:rPr>
              <w:drawing>
                <wp:inline distT="0" distB="0" distL="0" distR="0" wp14:anchorId="0845D94E" wp14:editId="7AAE2AB9">
                  <wp:extent cx="1143000" cy="1143000"/>
                  <wp:effectExtent l="0" t="0" r="0" b="0"/>
                  <wp:docPr id="5" name="Рисунок 5" descr="C:\Users\home\Desktop\Загрузки\РОБОТА\РОЗМАЛЬОВКИ\512662512_1798490880736521_498778115654048541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Desktop\Загрузки\РОБОТА\РОЗМАЛЬОВКИ\512662512_1798490880736521_498778115654048541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14:paraId="0DCD7E8A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28350F14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7BC3C5A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>
              <w:rPr>
                <w:szCs w:val="28"/>
              </w:rPr>
              <w:t>Тактильна смуга відсутня</w:t>
            </w:r>
          </w:p>
        </w:tc>
      </w:tr>
      <w:tr w:rsidR="00C96A29" w:rsidRPr="006B6C31" w14:paraId="3AA368D7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683C1F27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7B44C39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>
              <w:rPr>
                <w:szCs w:val="28"/>
              </w:rPr>
              <w:t>Фіксація дверей відсутня</w:t>
            </w:r>
          </w:p>
        </w:tc>
      </w:tr>
      <w:tr w:rsidR="00C96A29" w:rsidRPr="006B6C31" w14:paraId="1A8C83B0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lastRenderedPageBreak/>
              <w:t>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1330D283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3180637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>
              <w:rPr>
                <w:szCs w:val="28"/>
              </w:rPr>
              <w:t>Контрасне маркування кольором відсутнє</w:t>
            </w:r>
          </w:p>
        </w:tc>
      </w:tr>
      <w:tr w:rsidR="00C96A29" w:rsidRPr="006B6C31" w14:paraId="5915941B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2DAFE615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055EF6AE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 w:rsidRPr="006B6C31">
              <w:rPr>
                <w:szCs w:val="28"/>
              </w:rPr>
              <w:t xml:space="preserve">ширина дверних отворів становить не менше ніж </w:t>
            </w:r>
            <w:r w:rsidR="0071107B" w:rsidRPr="006B6C31">
              <w:t>0,9 метра</w:t>
            </w:r>
          </w:p>
        </w:tc>
      </w:tr>
      <w:tr w:rsidR="00C96A29" w:rsidRPr="006B6C31" w14:paraId="663C2FC7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3F343D6A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0890131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>
              <w:rPr>
                <w:szCs w:val="28"/>
              </w:rPr>
              <w:t>Не відповідає критеріям</w:t>
            </w:r>
          </w:p>
        </w:tc>
      </w:tr>
      <w:tr w:rsidR="00C96A29" w:rsidRPr="006B6C31" w14:paraId="50320FED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4D157228" w:rsidR="00C96A29" w:rsidRPr="006B6C31" w:rsidRDefault="0071107B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7BD5BA2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>
              <w:rPr>
                <w:szCs w:val="28"/>
              </w:rPr>
              <w:t>Контрасне маркування кольором відсутнє</w:t>
            </w:r>
          </w:p>
        </w:tc>
      </w:tr>
      <w:tr w:rsidR="00C96A29" w:rsidRPr="006B6C31" w14:paraId="23F92231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57C8D30E" w:rsidR="00C96A29" w:rsidRPr="006B6C31" w:rsidRDefault="00CF3BA4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2A95C903" w:rsidR="00C96A29" w:rsidRPr="00CF3BA4" w:rsidRDefault="00CF3BA4" w:rsidP="00CF3BA4">
            <w:pPr>
              <w:spacing w:before="120"/>
              <w:jc w:val="center"/>
              <w:rPr>
                <w:sz w:val="20"/>
                <w:szCs w:val="28"/>
              </w:rPr>
            </w:pPr>
            <w:r w:rsidRPr="00CF3BA4">
              <w:rPr>
                <w:sz w:val="20"/>
                <w:szCs w:val="28"/>
              </w:rPr>
              <w:t>Тамбури відсутні</w:t>
            </w:r>
          </w:p>
        </w:tc>
      </w:tr>
      <w:tr w:rsidR="00C96A29" w:rsidRPr="006B6C31" w14:paraId="73FBAB92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670D1980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313A2991" w:rsidR="00C96A29" w:rsidRPr="006B6C31" w:rsidRDefault="00C96A29" w:rsidP="00017A9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8D44D1F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52A91AB6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2581496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>
              <w:rPr>
                <w:szCs w:val="28"/>
              </w:rPr>
              <w:t>Відсутні перешкоди</w:t>
            </w:r>
          </w:p>
        </w:tc>
      </w:tr>
      <w:tr w:rsidR="00C96A29" w:rsidRPr="006B6C31" w14:paraId="4008BD64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2A10D" w14:textId="77777777" w:rsidR="00C96A29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  <w:p w14:paraId="79402990" w14:textId="4A974341" w:rsidR="00D359A2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3EC372EA" w:rsidR="00C96A29" w:rsidRPr="006B6C31" w:rsidRDefault="006D6B74" w:rsidP="006D6B74">
            <w:pPr>
              <w:spacing w:before="120"/>
              <w:jc w:val="center"/>
              <w:rPr>
                <w:szCs w:val="28"/>
              </w:rPr>
            </w:pPr>
            <w:r w:rsidRPr="00D359A2">
              <w:rPr>
                <w:sz w:val="20"/>
                <w:szCs w:val="28"/>
              </w:rPr>
              <w:t>Турнікет відсутній</w:t>
            </w:r>
          </w:p>
        </w:tc>
      </w:tr>
      <w:tr w:rsidR="00C96A29" w:rsidRPr="006B6C31" w14:paraId="3F00DA7F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71107B" w:rsidRDefault="00C96A29" w:rsidP="002E2C3F">
            <w:pPr>
              <w:spacing w:before="120"/>
              <w:rPr>
                <w:b/>
                <w:szCs w:val="28"/>
              </w:rPr>
            </w:pPr>
            <w:r w:rsidRPr="0071107B">
              <w:rPr>
                <w:b/>
                <w:szCs w:val="28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68881F4B" w:rsidR="00C96A29" w:rsidRPr="006B6C31" w:rsidRDefault="00C96A29" w:rsidP="00D359A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0E05C8A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lastRenderedPageBreak/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6F568771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08ED8F44" w:rsidR="00C96A29" w:rsidRPr="006B6C31" w:rsidRDefault="00CF3BA4" w:rsidP="00CF3BA4">
            <w:pPr>
              <w:spacing w:before="120"/>
              <w:jc w:val="both"/>
              <w:rPr>
                <w:szCs w:val="28"/>
              </w:rPr>
            </w:pPr>
            <w:r w:rsidRPr="00CF3BA4">
              <w:rPr>
                <w:sz w:val="20"/>
                <w:szCs w:val="28"/>
              </w:rPr>
              <w:t xml:space="preserve">Всередині будівлі  </w:t>
            </w:r>
            <w:r w:rsidRPr="00CF3BA4">
              <w:rPr>
                <w:sz w:val="20"/>
                <w:szCs w:val="28"/>
              </w:rPr>
              <w:lastRenderedPageBreak/>
              <w:t>відсутні сходи</w:t>
            </w:r>
          </w:p>
        </w:tc>
      </w:tr>
      <w:tr w:rsidR="00C96A29" w:rsidRPr="006B6C31" w14:paraId="7496A604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56E413DE" w:rsidR="00C96A29" w:rsidRPr="006B6C31" w:rsidRDefault="000956DC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07E251E1" w:rsidR="00C96A29" w:rsidRPr="006B6C31" w:rsidRDefault="00C96A29" w:rsidP="0071107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>
              <w:rPr>
                <w:sz w:val="20"/>
                <w:szCs w:val="28"/>
              </w:rPr>
              <w:t>Не застосовується</w:t>
            </w:r>
            <w:r w:rsidR="00CF3BA4">
              <w:rPr>
                <w:sz w:val="20"/>
                <w:szCs w:val="28"/>
              </w:rPr>
              <w:t xml:space="preserve"> </w:t>
            </w:r>
          </w:p>
        </w:tc>
      </w:tr>
      <w:tr w:rsidR="00C96A29" w:rsidRPr="006B6C31" w14:paraId="30E83AF6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0E9A64EF" w:rsidR="00C96A29" w:rsidRPr="006B6C31" w:rsidRDefault="00CF3BA4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  <w:r w:rsidR="00F25959">
              <w:rPr>
                <w:szCs w:val="28"/>
              </w:rPr>
              <w:t xml:space="preserve">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33C2B2E4" w:rsidR="00C96A29" w:rsidRPr="006B6C31" w:rsidRDefault="0071107B" w:rsidP="00CF3BA4">
            <w:pPr>
              <w:spacing w:before="120"/>
              <w:jc w:val="center"/>
              <w:rPr>
                <w:szCs w:val="28"/>
              </w:rPr>
            </w:pPr>
            <w:r>
              <w:rPr>
                <w:sz w:val="20"/>
                <w:szCs w:val="28"/>
              </w:rPr>
              <w:t>Не застосовується</w:t>
            </w:r>
          </w:p>
        </w:tc>
      </w:tr>
      <w:tr w:rsidR="00C96A29" w:rsidRPr="006B6C31" w14:paraId="476F43B1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3329EDDC" w:rsidR="00C96A29" w:rsidRPr="006B6C31" w:rsidRDefault="006D6B74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1D9A1C0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>
              <w:rPr>
                <w:szCs w:val="28"/>
              </w:rPr>
              <w:t>Тактильна смуга відсутня</w:t>
            </w:r>
          </w:p>
        </w:tc>
      </w:tr>
      <w:tr w:rsidR="00C96A29" w:rsidRPr="006B6C31" w14:paraId="5F078F68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2EFDD2D9" w:rsidR="00C96A29" w:rsidRPr="006B6C31" w:rsidRDefault="006D6B74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56F9A69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>
              <w:rPr>
                <w:szCs w:val="28"/>
              </w:rPr>
              <w:t>Контрасне маркування кольором відсутнє</w:t>
            </w:r>
          </w:p>
        </w:tc>
      </w:tr>
      <w:tr w:rsidR="00C96A29" w:rsidRPr="006B6C31" w14:paraId="5460F4B4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7E125DE1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1AD5EC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 w:rsidRPr="006B6C31">
              <w:rPr>
                <w:szCs w:val="28"/>
              </w:rPr>
              <w:t xml:space="preserve">ширина дверних отворів становить не менше ніж </w:t>
            </w:r>
            <w:r w:rsidR="0071107B" w:rsidRPr="006B6C31">
              <w:lastRenderedPageBreak/>
              <w:t>0,</w:t>
            </w:r>
            <w:r w:rsidR="0071107B" w:rsidRPr="006B6C31">
              <w:rPr>
                <w:szCs w:val="28"/>
              </w:rPr>
              <w:t>9</w:t>
            </w:r>
            <w:r w:rsidR="0071107B" w:rsidRPr="006B6C31">
              <w:t> метра</w:t>
            </w:r>
          </w:p>
        </w:tc>
      </w:tr>
      <w:tr w:rsidR="00C96A29" w:rsidRPr="006B6C31" w14:paraId="10EBFEA6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49C2E626" w:rsidR="00C96A29" w:rsidRPr="006B6C31" w:rsidRDefault="006D6B74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  <w:r w:rsidR="00F25959">
              <w:rPr>
                <w:szCs w:val="28"/>
              </w:rPr>
              <w:t xml:space="preserve">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ECA5668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1EB7D22C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7B58136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>
              <w:rPr>
                <w:szCs w:val="28"/>
              </w:rPr>
              <w:t>Контрасне маркування відсутнє</w:t>
            </w:r>
          </w:p>
        </w:tc>
      </w:tr>
      <w:tr w:rsidR="00C96A29" w:rsidRPr="006B6C31" w14:paraId="2C2018F9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>текстовому або відеоформаті,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63BC120E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2B209B9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 w:rsidRPr="006B6C31">
              <w:rPr>
                <w:szCs w:val="28"/>
              </w:rPr>
              <w:t>інформування для осіб з порушенням слуху</w:t>
            </w:r>
            <w:r w:rsidR="0071107B">
              <w:rPr>
                <w:szCs w:val="28"/>
              </w:rPr>
              <w:t xml:space="preserve"> відсутнє</w:t>
            </w:r>
          </w:p>
        </w:tc>
      </w:tr>
      <w:tr w:rsidR="00C96A29" w:rsidRPr="006B6C31" w14:paraId="36DEB698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33A28C10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46389D8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>
              <w:rPr>
                <w:szCs w:val="28"/>
              </w:rPr>
              <w:t>Придмети перешкод відсутні</w:t>
            </w:r>
          </w:p>
        </w:tc>
      </w:tr>
      <w:tr w:rsidR="00C96A29" w:rsidRPr="006B6C31" w14:paraId="7414467B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F6980E" w14:textId="77777777" w:rsidR="00C96A29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  <w:p w14:paraId="41761832" w14:textId="73CA5A83" w:rsidR="00F2595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1C3E285B" w:rsidR="00C96A29" w:rsidRPr="006B6C31" w:rsidRDefault="00F25959" w:rsidP="00F25959">
            <w:pPr>
              <w:spacing w:before="120"/>
              <w:jc w:val="center"/>
              <w:rPr>
                <w:szCs w:val="28"/>
              </w:rPr>
            </w:pPr>
            <w:r w:rsidRPr="00F25959">
              <w:rPr>
                <w:sz w:val="20"/>
                <w:szCs w:val="28"/>
              </w:rPr>
              <w:t xml:space="preserve">Туалет </w:t>
            </w:r>
            <w:r w:rsidR="0071107B">
              <w:rPr>
                <w:sz w:val="20"/>
                <w:szCs w:val="28"/>
              </w:rPr>
              <w:t xml:space="preserve">загального користування </w:t>
            </w:r>
            <w:r w:rsidRPr="00F25959">
              <w:rPr>
                <w:sz w:val="20"/>
                <w:szCs w:val="28"/>
              </w:rPr>
              <w:t>відсутній</w:t>
            </w:r>
          </w:p>
        </w:tc>
      </w:tr>
      <w:tr w:rsidR="00C96A29" w:rsidRPr="006B6C31" w14:paraId="7532BA79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</w:t>
            </w:r>
            <w:r w:rsidRPr="006B6C31">
              <w:rPr>
                <w:szCs w:val="28"/>
              </w:rPr>
              <w:lastRenderedPageBreak/>
              <w:t xml:space="preserve">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1CEA0590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3EC8801D" w:rsidR="00C96A29" w:rsidRPr="006B6C31" w:rsidRDefault="00F25959" w:rsidP="00F25959">
            <w:pPr>
              <w:spacing w:before="120"/>
              <w:jc w:val="center"/>
              <w:rPr>
                <w:szCs w:val="28"/>
              </w:rPr>
            </w:pPr>
            <w:r w:rsidRPr="00F25959">
              <w:rPr>
                <w:sz w:val="18"/>
                <w:szCs w:val="28"/>
              </w:rPr>
              <w:t>санітарно-гігієнічні приміщення відсутні</w:t>
            </w:r>
          </w:p>
        </w:tc>
      </w:tr>
      <w:tr w:rsidR="00C96A29" w:rsidRPr="006B6C31" w14:paraId="4F34BF69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487FBEAE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172C08F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25959" w:rsidRPr="00F25959">
              <w:rPr>
                <w:sz w:val="18"/>
                <w:szCs w:val="28"/>
              </w:rPr>
              <w:t>санітарно-гігієнічні приміщення відсутні</w:t>
            </w:r>
          </w:p>
        </w:tc>
      </w:tr>
      <w:tr w:rsidR="00C96A29" w:rsidRPr="006B6C31" w14:paraId="0D80CCCD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34E9F5A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</w:t>
            </w:r>
            <w:r w:rsidR="00642BC4">
              <w:rPr>
                <w:szCs w:val="28"/>
              </w:rPr>
              <w:t xml:space="preserve">  </w:t>
            </w:r>
            <w:r>
              <w:rPr>
                <w:szCs w:val="28"/>
              </w:rPr>
              <w:t>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60769ABE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06A125F9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>
              <w:rPr>
                <w:szCs w:val="28"/>
              </w:rPr>
              <w:t>Символ відсутні</w:t>
            </w:r>
          </w:p>
        </w:tc>
      </w:tr>
      <w:tr w:rsidR="00C96A29" w:rsidRPr="006B6C31" w14:paraId="7E6DC908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36A54E1C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653763A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 w:rsidRPr="006B6C31">
              <w:rPr>
                <w:szCs w:val="28"/>
              </w:rPr>
              <w:t>міжнародним символом доступності</w:t>
            </w:r>
            <w:r w:rsidR="0071107B">
              <w:rPr>
                <w:szCs w:val="28"/>
              </w:rPr>
              <w:t xml:space="preserve"> відсутній</w:t>
            </w:r>
          </w:p>
        </w:tc>
      </w:tr>
      <w:tr w:rsidR="00C96A29" w:rsidRPr="006B6C31" w14:paraId="726B272B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756632E3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2E98DFB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 w:rsidRPr="006B6C31">
              <w:rPr>
                <w:szCs w:val="28"/>
              </w:rPr>
              <w:t>план-схем</w:t>
            </w:r>
            <w:r w:rsidR="0071107B">
              <w:rPr>
                <w:szCs w:val="28"/>
              </w:rPr>
              <w:t>а відсутня</w:t>
            </w:r>
          </w:p>
        </w:tc>
      </w:tr>
      <w:tr w:rsidR="00C96A29" w:rsidRPr="006B6C31" w14:paraId="3EE562CB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4504DB1E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5C8650C0" w:rsidR="00C96A29" w:rsidRPr="006B6C31" w:rsidRDefault="0071107B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Мнемосхема</w:t>
            </w:r>
            <w:r>
              <w:rPr>
                <w:szCs w:val="28"/>
              </w:rPr>
              <w:t xml:space="preserve"> відсутня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025B856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>) освітленн</w:t>
            </w:r>
            <w:r>
              <w:rPr>
                <w:szCs w:val="28"/>
              </w:rPr>
              <w:t>ість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6B4CB073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6A6188AE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 w:rsidRPr="006B6C31">
              <w:rPr>
                <w:szCs w:val="28"/>
              </w:rPr>
              <w:t>освітленн</w:t>
            </w:r>
            <w:r w:rsidR="0071107B">
              <w:rPr>
                <w:szCs w:val="28"/>
              </w:rPr>
              <w:t>ість</w:t>
            </w:r>
            <w:r w:rsidR="0071107B" w:rsidRPr="006B6C31">
              <w:rPr>
                <w:szCs w:val="28"/>
              </w:rPr>
              <w:t xml:space="preserve"> </w:t>
            </w:r>
            <w:r w:rsidR="0071107B">
              <w:rPr>
                <w:szCs w:val="28"/>
              </w:rPr>
              <w:t xml:space="preserve">(рівень освітлення) </w:t>
            </w:r>
            <w:r w:rsidR="0071107B" w:rsidRPr="006B6C31">
              <w:rPr>
                <w:szCs w:val="28"/>
              </w:rPr>
              <w:t>забезпечує безпечний прохід</w:t>
            </w:r>
          </w:p>
        </w:tc>
      </w:tr>
      <w:tr w:rsidR="00C96A29" w:rsidRPr="006B6C31" w14:paraId="54F7FCD9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 xml:space="preserve">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7B0C399D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3C5B2DEA" w:rsidR="00C96A29" w:rsidRPr="006B6C31" w:rsidRDefault="0071107B" w:rsidP="0071107B">
            <w:pPr>
              <w:spacing w:before="120"/>
              <w:rPr>
                <w:szCs w:val="28"/>
              </w:rPr>
            </w:pP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lastRenderedPageBreak/>
              <w:t>створено</w:t>
            </w:r>
            <w:r>
              <w:rPr>
                <w:szCs w:val="28"/>
              </w:rPr>
              <w:t xml:space="preserve"> освітленість</w:t>
            </w:r>
          </w:p>
        </w:tc>
      </w:tr>
      <w:tr w:rsidR="00C96A29" w:rsidRPr="006B6C31" w14:paraId="42F3761A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167798C3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341C9570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>
              <w:rPr>
                <w:szCs w:val="28"/>
              </w:rPr>
              <w:t>Предмети відсутні</w:t>
            </w:r>
          </w:p>
        </w:tc>
      </w:tr>
      <w:tr w:rsidR="00C96A29" w:rsidRPr="006B6C31" w14:paraId="0FAB7008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76652EF5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14CF8955" w:rsidR="00C96A29" w:rsidRPr="006B6C31" w:rsidRDefault="00C96A29" w:rsidP="00017A9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 w:rsidRPr="006B6C31">
              <w:rPr>
                <w:szCs w:val="28"/>
              </w:rPr>
              <w:t>ширина вільного шляху руху</w:t>
            </w:r>
            <w:r w:rsidR="00017A90">
              <w:rPr>
                <w:szCs w:val="28"/>
              </w:rPr>
              <w:t xml:space="preserve"> у</w:t>
            </w:r>
            <w:r w:rsidR="0071107B" w:rsidRPr="006B6C31">
              <w:rPr>
                <w:szCs w:val="28"/>
              </w:rPr>
              <w:t xml:space="preserve"> приміщен</w:t>
            </w:r>
            <w:r w:rsidR="00017A90">
              <w:rPr>
                <w:szCs w:val="28"/>
              </w:rPr>
              <w:t>і</w:t>
            </w:r>
            <w:r w:rsidR="0071107B" w:rsidRPr="006B6C31">
              <w:rPr>
                <w:szCs w:val="28"/>
              </w:rPr>
              <w:t>, становить не менше ніж 1,8 метра</w:t>
            </w:r>
          </w:p>
        </w:tc>
      </w:tr>
      <w:tr w:rsidR="00C96A29" w:rsidRPr="006B6C31" w14:paraId="62E13604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7C096BD6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1874988C" w:rsidR="00C96A29" w:rsidRPr="006B6C31" w:rsidRDefault="00C96A29" w:rsidP="00017A9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17A90" w:rsidRPr="006B6C31">
              <w:rPr>
                <w:szCs w:val="28"/>
              </w:rPr>
              <w:t>ширина проходу становить не менше ніж 1,2 метра</w:t>
            </w:r>
          </w:p>
        </w:tc>
      </w:tr>
      <w:tr w:rsidR="00C96A29" w:rsidRPr="006B6C31" w14:paraId="5A0BFC22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64EB697C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28CFF782" w:rsidR="00C96A29" w:rsidRPr="006B6C31" w:rsidRDefault="00C96A29" w:rsidP="00017A9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17A90">
              <w:rPr>
                <w:szCs w:val="28"/>
              </w:rPr>
              <w:t xml:space="preserve">висота столів </w:t>
            </w:r>
            <w:r w:rsidR="00017A90" w:rsidRPr="006B6C31">
              <w:rPr>
                <w:szCs w:val="28"/>
              </w:rPr>
              <w:t xml:space="preserve"> становить 0,74—0,8 метра</w:t>
            </w:r>
          </w:p>
        </w:tc>
      </w:tr>
      <w:tr w:rsidR="00C96A29" w:rsidRPr="006B6C31" w14:paraId="43A34905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7234EA13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5DB4DFC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17A90" w:rsidRPr="006B6C31">
              <w:rPr>
                <w:szCs w:val="28"/>
              </w:rPr>
              <w:t>шляхи евакуації</w:t>
            </w:r>
            <w:r w:rsidR="00017A90">
              <w:rPr>
                <w:szCs w:val="28"/>
              </w:rPr>
              <w:t xml:space="preserve"> не є доступними для осіб з інвалідністю</w:t>
            </w:r>
          </w:p>
        </w:tc>
      </w:tr>
      <w:tr w:rsidR="00C96A29" w:rsidRPr="006B6C31" w14:paraId="798152D0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 xml:space="preserve">, які пересуваються на кріслах колісних, </w:t>
            </w:r>
            <w:r w:rsidRPr="006B6C31">
              <w:rPr>
                <w:szCs w:val="28"/>
              </w:rPr>
              <w:lastRenderedPageBreak/>
              <w:t>мають порушення зору чи слуху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0D77F7D0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32B4789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17A90">
              <w:rPr>
                <w:szCs w:val="28"/>
              </w:rPr>
              <w:t>Пристрої сповіщення відсутні</w:t>
            </w:r>
          </w:p>
        </w:tc>
      </w:tr>
      <w:tr w:rsidR="00C96A29" w:rsidRPr="006B6C31" w14:paraId="5A4DD21A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017A90" w:rsidRDefault="00C96A29" w:rsidP="00A833AC">
            <w:pPr>
              <w:spacing w:before="120"/>
              <w:rPr>
                <w:b/>
                <w:szCs w:val="28"/>
              </w:rPr>
            </w:pPr>
            <w:r w:rsidRPr="00017A90">
              <w:rPr>
                <w:b/>
                <w:szCs w:val="28"/>
              </w:rPr>
              <w:lastRenderedPageBreak/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C96A29" w:rsidRPr="006B6C31" w:rsidRDefault="00C96A29" w:rsidP="00D359A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C3A0B3F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64DA42B5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758FA1DB" w:rsidR="00915E4A" w:rsidRPr="006B6C31" w:rsidRDefault="00017A90" w:rsidP="002E2C3F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246E88EB" wp14:editId="3846B517">
                  <wp:extent cx="1146175" cy="11461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14:paraId="781EEC99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3684EE3B" w:rsidR="00C96A29" w:rsidRPr="006B6C31" w:rsidRDefault="00582A37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588D5B0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17A90">
              <w:rPr>
                <w:szCs w:val="28"/>
              </w:rPr>
              <w:t>Тактильна смуга відсутня</w:t>
            </w:r>
          </w:p>
        </w:tc>
      </w:tr>
      <w:tr w:rsidR="00C96A29" w:rsidRPr="006B6C31" w14:paraId="675AD389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7A31EA15" w:rsidR="00C96A29" w:rsidRPr="006B6C31" w:rsidRDefault="00582A37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76BCA6AB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17A90">
              <w:rPr>
                <w:szCs w:val="28"/>
              </w:rPr>
              <w:t>Ліфт відсутній</w:t>
            </w:r>
          </w:p>
        </w:tc>
      </w:tr>
      <w:tr w:rsidR="00C96A29" w:rsidRPr="006B6C31" w14:paraId="67C2138F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66E63979" w:rsidR="00C96A29" w:rsidRPr="006B6C31" w:rsidRDefault="00582A37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4CC67885" w:rsidR="00C96A29" w:rsidRPr="006B6C31" w:rsidRDefault="00017A90" w:rsidP="00582A37">
            <w:pPr>
              <w:spacing w:before="120"/>
              <w:jc w:val="center"/>
              <w:rPr>
                <w:szCs w:val="28"/>
              </w:rPr>
            </w:pPr>
            <w:r>
              <w:rPr>
                <w:sz w:val="20"/>
                <w:szCs w:val="28"/>
              </w:rPr>
              <w:t>Не застосовується</w:t>
            </w:r>
          </w:p>
        </w:tc>
      </w:tr>
      <w:tr w:rsidR="00017A90" w:rsidRPr="006B6C31" w14:paraId="09C96E9F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017A90" w:rsidRPr="00604001" w:rsidRDefault="00017A90" w:rsidP="00017A90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017A90" w:rsidRPr="006B6C31" w:rsidRDefault="00017A90" w:rsidP="00017A9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5D509FB6" w:rsidR="00017A90" w:rsidRPr="006B6C31" w:rsidRDefault="00017A90" w:rsidP="00017A90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7E405EA0" w:rsidR="00017A90" w:rsidRPr="006B6C31" w:rsidRDefault="00017A90" w:rsidP="00017A90">
            <w:pPr>
              <w:spacing w:before="120"/>
              <w:rPr>
                <w:szCs w:val="28"/>
              </w:rPr>
            </w:pPr>
            <w:r w:rsidRPr="00562872">
              <w:rPr>
                <w:sz w:val="20"/>
                <w:szCs w:val="28"/>
              </w:rPr>
              <w:t>Не застосовується</w:t>
            </w:r>
          </w:p>
        </w:tc>
      </w:tr>
      <w:tr w:rsidR="00017A90" w:rsidRPr="006B6C31" w14:paraId="2BBB6247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017A90" w:rsidRPr="006B6C31" w:rsidRDefault="00017A90" w:rsidP="00017A9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017A90" w:rsidRPr="006B6C31" w:rsidRDefault="00017A90" w:rsidP="00017A9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2F419FB0" w:rsidR="00017A90" w:rsidRPr="006B6C31" w:rsidRDefault="00017A90" w:rsidP="00017A90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3CF00420" w:rsidR="00017A90" w:rsidRPr="006B6C31" w:rsidRDefault="00017A90" w:rsidP="00017A90">
            <w:pPr>
              <w:spacing w:before="120"/>
              <w:rPr>
                <w:szCs w:val="28"/>
              </w:rPr>
            </w:pPr>
            <w:r w:rsidRPr="00562872">
              <w:rPr>
                <w:sz w:val="20"/>
                <w:szCs w:val="28"/>
              </w:rPr>
              <w:t>Не застосовується</w:t>
            </w:r>
          </w:p>
        </w:tc>
      </w:tr>
      <w:tr w:rsidR="00017A90" w:rsidRPr="006B6C31" w14:paraId="29BF187B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017A90" w:rsidRPr="00604001" w:rsidRDefault="00017A90" w:rsidP="00017A90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7) під час зупинки ліфта рівень його підлоги залишається урівень із підлогою поверху (допускається </w:t>
            </w:r>
            <w:r w:rsidRPr="00604001">
              <w:rPr>
                <w:szCs w:val="28"/>
              </w:rPr>
              <w:lastRenderedPageBreak/>
              <w:t>відхилення не більше ніж на 2 сантиметри)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017A90" w:rsidRPr="006B6C31" w:rsidRDefault="00017A90" w:rsidP="00017A9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4769EE7E" w:rsidR="00017A90" w:rsidRPr="006B6C31" w:rsidRDefault="00017A90" w:rsidP="00017A90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14E2ED9F" w:rsidR="00017A90" w:rsidRPr="006B6C31" w:rsidRDefault="00017A90" w:rsidP="00017A90">
            <w:pPr>
              <w:spacing w:before="120"/>
              <w:rPr>
                <w:szCs w:val="28"/>
              </w:rPr>
            </w:pPr>
            <w:r w:rsidRPr="00562872">
              <w:rPr>
                <w:sz w:val="20"/>
                <w:szCs w:val="28"/>
              </w:rPr>
              <w:t>Не застосовується</w:t>
            </w:r>
          </w:p>
        </w:tc>
      </w:tr>
      <w:tr w:rsidR="00017A90" w:rsidRPr="006B6C31" w14:paraId="49887FF9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017A90" w:rsidRPr="006B6C31" w:rsidRDefault="00017A90" w:rsidP="00017A9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8) номери поверхів, зазначені на кнопках ліфта, подані збільшеним шрифтом та в контрастному співвідношенні кольорів, продубльовані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017A90" w:rsidRPr="006B6C31" w:rsidRDefault="00017A90" w:rsidP="00017A9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33DE56B4" w:rsidR="00017A90" w:rsidRPr="006B6C31" w:rsidRDefault="00017A90" w:rsidP="00017A90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2997C726" w:rsidR="00017A90" w:rsidRPr="006B6C31" w:rsidRDefault="00017A90" w:rsidP="00017A90">
            <w:pPr>
              <w:spacing w:before="120"/>
              <w:rPr>
                <w:szCs w:val="28"/>
              </w:rPr>
            </w:pPr>
            <w:r w:rsidRPr="00562872">
              <w:rPr>
                <w:sz w:val="20"/>
                <w:szCs w:val="28"/>
              </w:rPr>
              <w:t>Не застосовується</w:t>
            </w:r>
          </w:p>
        </w:tc>
      </w:tr>
      <w:tr w:rsidR="00017A90" w:rsidRPr="006B6C31" w14:paraId="22DED9D8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017A90" w:rsidRPr="006B6C31" w:rsidRDefault="00017A90" w:rsidP="00017A9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017A90" w:rsidRPr="006B6C31" w:rsidRDefault="00017A90" w:rsidP="00017A9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79E5E15B" w:rsidR="00017A90" w:rsidRPr="006B6C31" w:rsidRDefault="00017A90" w:rsidP="00017A90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5C0E1DFD" w:rsidR="00017A90" w:rsidRPr="006B6C31" w:rsidRDefault="00017A90" w:rsidP="00017A90">
            <w:pPr>
              <w:spacing w:before="120"/>
              <w:rPr>
                <w:szCs w:val="28"/>
              </w:rPr>
            </w:pPr>
            <w:r w:rsidRPr="00562872">
              <w:rPr>
                <w:sz w:val="20"/>
                <w:szCs w:val="28"/>
              </w:rPr>
              <w:t>Не застосовується</w:t>
            </w:r>
          </w:p>
        </w:tc>
      </w:tr>
      <w:tr w:rsidR="00C96A29" w:rsidRPr="006B6C31" w14:paraId="4A5BA7F3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451E0F38" w:rsidR="00C96A29" w:rsidRPr="006B6C31" w:rsidRDefault="0014376E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14:paraId="394700F3" w14:textId="2D5A7044"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Pr="00AB10B5">
        <w:rPr>
          <w:szCs w:val="28"/>
        </w:rPr>
        <w:t xml:space="preserve">: </w:t>
      </w:r>
      <w:r w:rsidR="0014376E" w:rsidRPr="00381458">
        <w:rPr>
          <w:b/>
          <w:i/>
          <w:szCs w:val="28"/>
          <w:u w:val="single"/>
        </w:rPr>
        <w:t>об</w:t>
      </w:r>
      <w:r w:rsidR="0014376E" w:rsidRPr="00381458">
        <w:rPr>
          <w:b/>
          <w:i/>
          <w:szCs w:val="28"/>
          <w:u w:val="single"/>
          <w:lang w:val="en-US"/>
        </w:rPr>
        <w:t>’</w:t>
      </w:r>
      <w:r w:rsidR="0014376E" w:rsidRPr="00381458">
        <w:rPr>
          <w:b/>
          <w:i/>
          <w:szCs w:val="28"/>
          <w:u w:val="single"/>
        </w:rPr>
        <w:t>єкт є бар</w:t>
      </w:r>
      <w:r w:rsidR="0014376E" w:rsidRPr="00381458">
        <w:rPr>
          <w:b/>
          <w:i/>
          <w:szCs w:val="28"/>
          <w:u w:val="single"/>
          <w:lang w:val="en-US"/>
        </w:rPr>
        <w:t>’</w:t>
      </w:r>
      <w:r w:rsidR="0014376E" w:rsidRPr="00381458">
        <w:rPr>
          <w:b/>
          <w:i/>
          <w:szCs w:val="28"/>
          <w:u w:val="single"/>
        </w:rPr>
        <w:t>єрним</w:t>
      </w:r>
      <w:r w:rsidR="0014376E">
        <w:rPr>
          <w:szCs w:val="28"/>
        </w:rPr>
        <w:t xml:space="preserve"> 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CC7B87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23B0C4D9" w:rsidR="00C96A29" w:rsidRPr="006B6C31" w:rsidRDefault="0038145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37D2623B" w:rsidR="00C96A29" w:rsidRPr="006B6C31" w:rsidRDefault="0038145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07312985" w:rsidR="00C96A29" w:rsidRPr="006B6C31" w:rsidRDefault="0038145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2DBA770E" w:rsidR="00C96A29" w:rsidRPr="0014376E" w:rsidRDefault="0014376E" w:rsidP="002E2C3F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6113FD6F" w:rsidR="00C96A29" w:rsidRPr="006B6C31" w:rsidRDefault="0038145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781E6531" w:rsidR="00C96A29" w:rsidRPr="006B6C31" w:rsidRDefault="0038145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4AAF756C" w:rsidR="00C96A29" w:rsidRPr="006B6C31" w:rsidRDefault="0038145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1FEE69AB" w:rsidR="00C96A29" w:rsidRPr="00381458" w:rsidRDefault="0038145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09412139" w:rsidR="00C96A29" w:rsidRPr="006B6C31" w:rsidRDefault="0038145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7B7FE8A0" w:rsidR="00C96A29" w:rsidRPr="006B6C31" w:rsidRDefault="0038145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4B505E10" w:rsidR="00C96A29" w:rsidRPr="006B6C31" w:rsidRDefault="0038145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1AD38A63" w:rsidR="00C96A29" w:rsidRPr="0014376E" w:rsidRDefault="0014376E" w:rsidP="002E2C3F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</w:tbl>
    <w:p w14:paraId="072071CB" w14:textId="77777777" w:rsidR="00C96A29" w:rsidRDefault="00C96A29" w:rsidP="00C96A29"/>
    <w:p w14:paraId="0712EDE0" w14:textId="395701D9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564C0023" w:rsidR="00B92B6E" w:rsidRPr="006B6C31" w:rsidRDefault="0038145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40D76633" w:rsidR="00B92B6E" w:rsidRPr="006B6C31" w:rsidRDefault="0038145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32B4FB8E" w:rsidR="00B92B6E" w:rsidRPr="006B6C31" w:rsidRDefault="0038145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0BB8DCF0" w:rsidR="00B92B6E" w:rsidRPr="006B6C31" w:rsidRDefault="00793D0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0E111CF6" w:rsidR="00B92B6E" w:rsidRPr="006B6C31" w:rsidRDefault="0038145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15D0E789" w:rsidR="00B92B6E" w:rsidRPr="006B6C31" w:rsidRDefault="0038145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24C4A464" w:rsidR="00B92B6E" w:rsidRPr="006B6C31" w:rsidRDefault="0038145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417135E6" w:rsidR="00B92B6E" w:rsidRPr="006B6C31" w:rsidRDefault="00793D0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4F457947" w:rsidR="00B92B6E" w:rsidRPr="006B6C31" w:rsidRDefault="0038145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125AD31A" w:rsidR="00B92B6E" w:rsidRPr="006B6C31" w:rsidRDefault="0038145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43B2EC54" w:rsidR="00B92B6E" w:rsidRPr="006B6C31" w:rsidRDefault="0038145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3859BF9B" w:rsidR="00B92B6E" w:rsidRPr="006B6C31" w:rsidRDefault="00793D0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4097858D" w:rsidR="00C96A29" w:rsidRPr="00793D06" w:rsidRDefault="00C96A29" w:rsidP="00C96A29">
      <w:pPr>
        <w:widowControl w:val="0"/>
        <w:spacing w:after="120"/>
        <w:jc w:val="both"/>
        <w:rPr>
          <w:sz w:val="20"/>
        </w:rPr>
      </w:pPr>
      <w:r w:rsidRPr="00793D06">
        <w:rPr>
          <w:sz w:val="20"/>
        </w:rPr>
        <w:lastRenderedPageBreak/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793D06" w:rsidRDefault="00C96A29" w:rsidP="00C96A29">
      <w:pPr>
        <w:widowControl w:val="0"/>
        <w:spacing w:after="120"/>
        <w:jc w:val="both"/>
        <w:rPr>
          <w:sz w:val="20"/>
        </w:rPr>
      </w:pPr>
      <w:r w:rsidRPr="00793D06">
        <w:rPr>
          <w:sz w:val="20"/>
        </w:rPr>
        <w:t>** У графі “Відповідність критеріям” зазначається:</w:t>
      </w:r>
    </w:p>
    <w:p w14:paraId="79942CAE" w14:textId="77777777" w:rsidR="00C96A29" w:rsidRPr="00793D06" w:rsidRDefault="00C96A29" w:rsidP="00C96A29">
      <w:pPr>
        <w:widowControl w:val="0"/>
        <w:spacing w:after="120"/>
        <w:jc w:val="both"/>
        <w:rPr>
          <w:sz w:val="20"/>
        </w:rPr>
      </w:pPr>
      <w:r w:rsidRPr="00793D06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44830453" w14:textId="66463043" w:rsidR="00C96A29" w:rsidRPr="00793D06" w:rsidRDefault="00C96A29" w:rsidP="00C96A29">
      <w:pPr>
        <w:widowControl w:val="0"/>
        <w:spacing w:after="120"/>
        <w:jc w:val="both"/>
        <w:rPr>
          <w:sz w:val="20"/>
        </w:rPr>
      </w:pPr>
      <w:r w:rsidRPr="00793D06">
        <w:rPr>
          <w:sz w:val="20"/>
        </w:rPr>
        <w:t>“ні” — у разі, коли елемент будівлі або споруд</w:t>
      </w:r>
      <w:r w:rsidR="00B92B6E" w:rsidRPr="00793D06">
        <w:rPr>
          <w:sz w:val="20"/>
        </w:rPr>
        <w:t>и</w:t>
      </w:r>
      <w:r w:rsidRPr="00793D06">
        <w:rPr>
          <w:sz w:val="20"/>
        </w:rPr>
        <w:t xml:space="preserve"> не відповідає опису та параметрам критерію безбар’єрності;</w:t>
      </w:r>
    </w:p>
    <w:p w14:paraId="7149BA64" w14:textId="77777777" w:rsidR="00C96A29" w:rsidRPr="00793D06" w:rsidRDefault="00C96A29" w:rsidP="00C96A29">
      <w:pPr>
        <w:widowControl w:val="0"/>
        <w:spacing w:after="120"/>
        <w:jc w:val="both"/>
        <w:rPr>
          <w:sz w:val="20"/>
        </w:rPr>
      </w:pPr>
      <w:r w:rsidRPr="00793D06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34809127" w14:textId="77777777" w:rsidR="00C96A29" w:rsidRPr="00793D06" w:rsidRDefault="00C96A29" w:rsidP="00C96A29">
      <w:pPr>
        <w:widowControl w:val="0"/>
        <w:spacing w:after="120"/>
        <w:jc w:val="both"/>
        <w:rPr>
          <w:sz w:val="20"/>
        </w:rPr>
      </w:pPr>
      <w:r w:rsidRPr="00793D06">
        <w:rPr>
          <w:sz w:val="20"/>
        </w:rPr>
        <w:t>*** У висновку щодо оцінки ступеня безбар’єрності зазначається один із таких варіантів:</w:t>
      </w:r>
    </w:p>
    <w:p w14:paraId="434D64B4" w14:textId="77777777" w:rsidR="00C96A29" w:rsidRPr="00793D06" w:rsidRDefault="00C96A29" w:rsidP="00C96A29">
      <w:pPr>
        <w:widowControl w:val="0"/>
        <w:spacing w:after="120"/>
        <w:jc w:val="both"/>
        <w:rPr>
          <w:sz w:val="20"/>
        </w:rPr>
      </w:pPr>
      <w:r w:rsidRPr="00793D06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793D06" w:rsidRDefault="00C96A29" w:rsidP="00C96A29">
      <w:pPr>
        <w:widowControl w:val="0"/>
        <w:spacing w:after="120"/>
        <w:jc w:val="both"/>
        <w:rPr>
          <w:sz w:val="20"/>
        </w:rPr>
      </w:pPr>
      <w:r w:rsidRPr="00793D06">
        <w:rPr>
          <w:sz w:val="20"/>
        </w:rPr>
        <w:t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критичиністю “так”, а в одному і більше інших критеріях “ні”, такий об’єкт вважається частково безбар’єрним);</w:t>
      </w:r>
    </w:p>
    <w:p w14:paraId="6B7BA1BD" w14:textId="080FE29B" w:rsidR="00480EC3" w:rsidRPr="00017A90" w:rsidRDefault="00C96A29" w:rsidP="00017A90">
      <w:pPr>
        <w:widowControl w:val="0"/>
        <w:spacing w:after="120"/>
        <w:jc w:val="both"/>
        <w:rPr>
          <w:sz w:val="20"/>
        </w:rPr>
      </w:pPr>
      <w:r w:rsidRPr="00793D06">
        <w:rPr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76CAA258" w14:textId="22B7426A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Керівник: </w:t>
      </w:r>
    </w:p>
    <w:p w14:paraId="56C30F7D" w14:textId="1AB23F74" w:rsidR="00480EC3" w:rsidRDefault="00381458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noProof/>
          <w:sz w:val="24"/>
          <w:szCs w:val="24"/>
        </w:rPr>
        <w:t>Вікторія РЕКУНОВИЧ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7BDB2365" w14:textId="18A7F1B4" w:rsidR="00480EC3" w:rsidRDefault="00480EC3" w:rsidP="00017A90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14:paraId="20E9E0A4" w14:textId="495D3E29" w:rsidR="00480EC3" w:rsidRDefault="00480EC3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r w:rsidR="00376644">
        <w:rPr>
          <w:rFonts w:eastAsiaTheme="minorEastAsia"/>
          <w:b/>
          <w:color w:val="000000"/>
          <w:sz w:val="24"/>
          <w:szCs w:val="24"/>
        </w:rPr>
        <w:t xml:space="preserve"> </w:t>
      </w:r>
      <w:r w:rsidR="0048735D">
        <w:rPr>
          <w:rFonts w:eastAsiaTheme="minorEastAsia"/>
          <w:b/>
          <w:color w:val="000000"/>
          <w:sz w:val="24"/>
          <w:szCs w:val="24"/>
        </w:rPr>
        <w:t>01</w:t>
      </w:r>
      <w:r w:rsidR="00793D06">
        <w:rPr>
          <w:rFonts w:eastAsiaTheme="minorEastAsia"/>
          <w:b/>
          <w:color w:val="000000"/>
          <w:sz w:val="24"/>
          <w:szCs w:val="24"/>
        </w:rPr>
        <w:t xml:space="preserve"> </w:t>
      </w:r>
      <w:r>
        <w:rPr>
          <w:rFonts w:eastAsiaTheme="minorEastAsia"/>
          <w:b/>
          <w:color w:val="000000"/>
          <w:sz w:val="24"/>
          <w:szCs w:val="24"/>
        </w:rPr>
        <w:t xml:space="preserve">» </w:t>
      </w:r>
      <w:r w:rsidR="0048735D">
        <w:rPr>
          <w:rFonts w:eastAsiaTheme="minorEastAsia"/>
          <w:b/>
          <w:color w:val="000000"/>
          <w:sz w:val="24"/>
          <w:szCs w:val="24"/>
        </w:rPr>
        <w:t>квітня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20</w:t>
      </w:r>
      <w:r w:rsidR="00376644">
        <w:rPr>
          <w:rFonts w:eastAsiaTheme="minorEastAsia"/>
          <w:b/>
          <w:color w:val="000000"/>
          <w:sz w:val="24"/>
          <w:szCs w:val="24"/>
        </w:rPr>
        <w:t>26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0ECFFB1C" w14:textId="77777777" w:rsidR="00793D06" w:rsidRPr="00793D06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0"/>
          <w:lang w:val="x-none"/>
        </w:rPr>
      </w:pPr>
      <w:r w:rsidRPr="00793D06">
        <w:rPr>
          <w:rFonts w:eastAsiaTheme="minorEastAsia"/>
          <w:b/>
          <w:noProof/>
          <w:sz w:val="20"/>
          <w:lang w:val="x-none"/>
        </w:rPr>
        <w:t xml:space="preserve">Виконавець: </w:t>
      </w:r>
    </w:p>
    <w:p w14:paraId="22EDCCB5" w14:textId="6B49F1D9" w:rsidR="00480EC3" w:rsidRPr="00793D06" w:rsidRDefault="006D6B74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0"/>
        </w:rPr>
      </w:pPr>
      <w:r w:rsidRPr="00793D06">
        <w:rPr>
          <w:rFonts w:eastAsiaTheme="minorEastAsia"/>
          <w:b/>
          <w:noProof/>
          <w:sz w:val="20"/>
        </w:rPr>
        <w:t>Вікторія РЕКУНОВИЧ</w:t>
      </w:r>
      <w:r w:rsidR="00480EC3" w:rsidRPr="00793D06">
        <w:rPr>
          <w:rFonts w:eastAsiaTheme="minorEastAsia"/>
          <w:b/>
          <w:noProof/>
          <w:sz w:val="20"/>
        </w:rPr>
        <w:t>,</w:t>
      </w:r>
      <w:r w:rsidR="00480EC3" w:rsidRPr="00793D06">
        <w:rPr>
          <w:rFonts w:eastAsiaTheme="minorEastAsia"/>
          <w:b/>
          <w:noProof/>
          <w:sz w:val="20"/>
          <w:lang w:val="x-none"/>
        </w:rPr>
        <w:t xml:space="preserve"> </w:t>
      </w:r>
      <w:r w:rsidR="00480EC3" w:rsidRPr="00793D06">
        <w:rPr>
          <w:rFonts w:eastAsiaTheme="minorEastAsia"/>
          <w:b/>
          <w:noProof/>
          <w:sz w:val="20"/>
        </w:rPr>
        <w:t>+38 (</w:t>
      </w:r>
      <w:r w:rsidRPr="00793D06">
        <w:rPr>
          <w:rFonts w:eastAsiaTheme="minorEastAsia"/>
          <w:b/>
          <w:noProof/>
          <w:sz w:val="20"/>
          <w:lang w:val="x-none"/>
        </w:rPr>
        <w:t>096</w:t>
      </w:r>
      <w:r w:rsidR="00480EC3" w:rsidRPr="00793D06">
        <w:rPr>
          <w:rFonts w:eastAsiaTheme="minorEastAsia"/>
          <w:b/>
          <w:noProof/>
          <w:sz w:val="20"/>
        </w:rPr>
        <w:t xml:space="preserve">) </w:t>
      </w:r>
      <w:r w:rsidRPr="00793D06">
        <w:rPr>
          <w:rFonts w:eastAsiaTheme="minorEastAsia"/>
          <w:b/>
          <w:noProof/>
          <w:sz w:val="20"/>
        </w:rPr>
        <w:t>673 85 26</w:t>
      </w:r>
    </w:p>
    <w:p w14:paraId="17D30137" w14:textId="77777777" w:rsidR="00480EC3" w:rsidRPr="00793D06" w:rsidRDefault="00480EC3" w:rsidP="00480EC3">
      <w:pPr>
        <w:rPr>
          <w:rFonts w:asciiTheme="minorHAnsi" w:eastAsiaTheme="minorEastAsia" w:hAnsiTheme="minorHAnsi" w:cstheme="minorBidi"/>
          <w:color w:val="000000"/>
          <w:sz w:val="20"/>
        </w:rPr>
      </w:pPr>
      <w:r w:rsidRPr="00793D06">
        <w:rPr>
          <w:rFonts w:eastAsiaTheme="minorEastAsia" w:cstheme="minorBidi"/>
          <w:noProof/>
          <w:sz w:val="20"/>
        </w:rPr>
        <w:t>(ПІБ та телефон виконавця)</w:t>
      </w:r>
    </w:p>
    <w:p w14:paraId="42F18460" w14:textId="3C38A4F1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893231">
      <w:headerReference w:type="even" r:id="rId12"/>
      <w:headerReference w:type="default" r:id="rId13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26695" w14:textId="77777777" w:rsidR="006F597B" w:rsidRDefault="006F597B">
      <w:r>
        <w:separator/>
      </w:r>
    </w:p>
  </w:endnote>
  <w:endnote w:type="continuationSeparator" w:id="0">
    <w:p w14:paraId="566AD791" w14:textId="77777777" w:rsidR="006F597B" w:rsidRDefault="006F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3173C" w14:textId="77777777" w:rsidR="006F597B" w:rsidRDefault="006F597B">
      <w:r>
        <w:separator/>
      </w:r>
    </w:p>
  </w:footnote>
  <w:footnote w:type="continuationSeparator" w:id="0">
    <w:p w14:paraId="1137B46B" w14:textId="77777777" w:rsidR="006F597B" w:rsidRDefault="006F5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642BC4" w:rsidRDefault="00642BC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642BC4" w:rsidRDefault="00642BC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3B65BB05" w:rsidR="00642BC4" w:rsidRDefault="00642BC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8D5074">
      <w:rPr>
        <w:noProof/>
      </w:rPr>
      <w:t>2</w:t>
    </w:r>
    <w:r>
      <w:fldChar w:fldCharType="end"/>
    </w:r>
  </w:p>
  <w:p w14:paraId="62FDABAC" w14:textId="77777777" w:rsidR="00642BC4" w:rsidRDefault="00642BC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122C1"/>
    <w:rsid w:val="00017A90"/>
    <w:rsid w:val="00025735"/>
    <w:rsid w:val="00025B56"/>
    <w:rsid w:val="00031E8D"/>
    <w:rsid w:val="00062A85"/>
    <w:rsid w:val="000956DC"/>
    <w:rsid w:val="000B3A6A"/>
    <w:rsid w:val="000D54EE"/>
    <w:rsid w:val="000E65C8"/>
    <w:rsid w:val="00131C7B"/>
    <w:rsid w:val="0014376E"/>
    <w:rsid w:val="00155F4E"/>
    <w:rsid w:val="00190793"/>
    <w:rsid w:val="001A2618"/>
    <w:rsid w:val="001A5FC5"/>
    <w:rsid w:val="00210F96"/>
    <w:rsid w:val="00235E70"/>
    <w:rsid w:val="002E2C3F"/>
    <w:rsid w:val="003149CC"/>
    <w:rsid w:val="003214E5"/>
    <w:rsid w:val="00376644"/>
    <w:rsid w:val="00381458"/>
    <w:rsid w:val="00443BFA"/>
    <w:rsid w:val="00480EC3"/>
    <w:rsid w:val="0048735D"/>
    <w:rsid w:val="004A0210"/>
    <w:rsid w:val="004A44C8"/>
    <w:rsid w:val="004C29EB"/>
    <w:rsid w:val="00525BBB"/>
    <w:rsid w:val="00582A37"/>
    <w:rsid w:val="005905C7"/>
    <w:rsid w:val="005F06C5"/>
    <w:rsid w:val="006060F2"/>
    <w:rsid w:val="0063408E"/>
    <w:rsid w:val="006401BB"/>
    <w:rsid w:val="00642BC4"/>
    <w:rsid w:val="00645343"/>
    <w:rsid w:val="006502AC"/>
    <w:rsid w:val="006538FA"/>
    <w:rsid w:val="006B2DC2"/>
    <w:rsid w:val="006B6C31"/>
    <w:rsid w:val="006D6B74"/>
    <w:rsid w:val="006F387F"/>
    <w:rsid w:val="006F597B"/>
    <w:rsid w:val="0071107B"/>
    <w:rsid w:val="0072260E"/>
    <w:rsid w:val="00745F8B"/>
    <w:rsid w:val="00781C4E"/>
    <w:rsid w:val="00781F14"/>
    <w:rsid w:val="00793D06"/>
    <w:rsid w:val="007D7BAD"/>
    <w:rsid w:val="00810C0D"/>
    <w:rsid w:val="00813211"/>
    <w:rsid w:val="00830355"/>
    <w:rsid w:val="00875929"/>
    <w:rsid w:val="00893231"/>
    <w:rsid w:val="00896917"/>
    <w:rsid w:val="00896ABC"/>
    <w:rsid w:val="008D5074"/>
    <w:rsid w:val="008E5C15"/>
    <w:rsid w:val="008F184F"/>
    <w:rsid w:val="00914212"/>
    <w:rsid w:val="00915E4A"/>
    <w:rsid w:val="009164D0"/>
    <w:rsid w:val="009175E2"/>
    <w:rsid w:val="00933A58"/>
    <w:rsid w:val="009672B9"/>
    <w:rsid w:val="00A50F46"/>
    <w:rsid w:val="00A833AC"/>
    <w:rsid w:val="00A84333"/>
    <w:rsid w:val="00AE7B5F"/>
    <w:rsid w:val="00B26EFA"/>
    <w:rsid w:val="00B60C83"/>
    <w:rsid w:val="00B92B6E"/>
    <w:rsid w:val="00C02385"/>
    <w:rsid w:val="00C0603E"/>
    <w:rsid w:val="00C96A29"/>
    <w:rsid w:val="00CC08F8"/>
    <w:rsid w:val="00CF3BA4"/>
    <w:rsid w:val="00D359A2"/>
    <w:rsid w:val="00D43E93"/>
    <w:rsid w:val="00D62814"/>
    <w:rsid w:val="00D80C97"/>
    <w:rsid w:val="00D9783F"/>
    <w:rsid w:val="00DC64C3"/>
    <w:rsid w:val="00E14E67"/>
    <w:rsid w:val="00E212B9"/>
    <w:rsid w:val="00F23802"/>
    <w:rsid w:val="00F25959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docId w15:val="{D4E03EEA-6A26-41C7-A355-29A2F11D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?fbid=891513833883156&amp;set=a.113107878390426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AAAC8-6F1B-44A9-B1CE-4E3A4A305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11070</Words>
  <Characters>6311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home</cp:lastModifiedBy>
  <cp:revision>22</cp:revision>
  <cp:lastPrinted>2026-03-24T12:36:00Z</cp:lastPrinted>
  <dcterms:created xsi:type="dcterms:W3CDTF">2025-03-20T15:55:00Z</dcterms:created>
  <dcterms:modified xsi:type="dcterms:W3CDTF">2026-03-24T12:36:00Z</dcterms:modified>
</cp:coreProperties>
</file>