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01" w:rsidRDefault="00686BCD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FE6701" w:rsidRDefault="00686BCD">
      <w:pPr>
        <w:pStyle w:val="afa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FE6701" w:rsidRDefault="00686BCD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f4"/>
        <w:tblW w:w="8994" w:type="dxa"/>
        <w:tblLayout w:type="fixed"/>
        <w:tblLook w:val="04A0" w:firstRow="1" w:lastRow="0" w:firstColumn="1" w:lastColumn="0" w:noHBand="0" w:noVBand="1"/>
      </w:tblPr>
      <w:tblGrid>
        <w:gridCol w:w="564"/>
        <w:gridCol w:w="8430"/>
      </w:tblGrid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FE6701" w:rsidRDefault="00686BCD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proofErr w:type="spellStart"/>
            <w:r>
              <w:rPr>
                <w:i/>
                <w:sz w:val="20"/>
                <w:szCs w:val="28"/>
                <w:u w:val="single"/>
                <w:lang w:eastAsia="en-US"/>
              </w:rPr>
              <w:t>Ковпаківська</w:t>
            </w:r>
            <w:proofErr w:type="spellEnd"/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гімназія-філія Личківського ліцею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об’єкта фізичного оточення </w:t>
            </w:r>
          </w:p>
          <w:p w:rsidR="00FE6701" w:rsidRDefault="00686BCD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ПРУ № 14373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Адреса розташування: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 w:val="20"/>
                <w:szCs w:val="28"/>
                <w:u w:val="single"/>
                <w:lang w:eastAsia="en-US"/>
              </w:rPr>
              <w:t>село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населеного пункту </w:t>
            </w:r>
            <w:proofErr w:type="spellStart"/>
            <w:r>
              <w:rPr>
                <w:i/>
                <w:sz w:val="20"/>
                <w:szCs w:val="28"/>
                <w:u w:val="single"/>
                <w:lang w:eastAsia="en-US"/>
              </w:rPr>
              <w:t>Ковпаківка</w:t>
            </w:r>
            <w:proofErr w:type="spellEnd"/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u w:val="single"/>
                <w:lang w:eastAsia="en-US"/>
              </w:rPr>
              <w:t>назва вулиці</w:t>
            </w:r>
            <w:r>
              <w:rPr>
                <w:sz w:val="20"/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Центральна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>
        <w:trPr>
          <w:trHeight w:val="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40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Кількість поверхів 1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поверх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sz w:val="20"/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8"/>
                <w:lang w:eastAsia="en-US"/>
              </w:rPr>
              <w:t xml:space="preserve">у разі наявності) </w:t>
            </w:r>
          </w:p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0507308807, </w:t>
            </w:r>
            <w:r>
              <w:rPr>
                <w:rFonts w:ascii="Google Sans;Roboto;RobotoDraft;" w:hAnsi="Google Sans;Roboto;RobotoDraft;"/>
                <w:color w:val="5983B0"/>
                <w:sz w:val="17"/>
                <w:szCs w:val="28"/>
                <w:lang w:eastAsia="en-US"/>
              </w:rPr>
              <w:t>znz08@mag-osvita.dp.ua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Посилання</w:t>
            </w:r>
            <w:r>
              <w:rPr>
                <w:sz w:val="20"/>
                <w:szCs w:val="28"/>
                <w:lang w:eastAsia="en-US"/>
              </w:rPr>
              <w:t xml:space="preserve"> на фото- та відеоматеріали </w:t>
            </w:r>
            <w:hyperlink r:id="rId8" w:history="1">
              <w:r w:rsidR="0015304F" w:rsidRPr="00B8669E">
                <w:rPr>
                  <w:rStyle w:val="a5"/>
                  <w:sz w:val="20"/>
                  <w:szCs w:val="28"/>
                  <w:lang w:eastAsia="en-US"/>
                </w:rPr>
                <w:t>https://www.facebook.com/groups/461794151222904/</w:t>
              </w:r>
            </w:hyperlink>
            <w:r w:rsidR="0015304F"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E6701" w:rsidRDefault="00686BCD" w:rsidP="0015304F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Дата проведення </w:t>
            </w:r>
            <w:r>
              <w:rPr>
                <w:sz w:val="20"/>
                <w:lang w:eastAsia="en-US"/>
              </w:rPr>
              <w:t>оцінки</w:t>
            </w:r>
            <w:r w:rsidR="0015304F">
              <w:rPr>
                <w:sz w:val="20"/>
                <w:szCs w:val="28"/>
                <w:lang w:eastAsia="en-US"/>
              </w:rPr>
              <w:t xml:space="preserve"> </w:t>
            </w:r>
            <w:r w:rsidR="0015304F" w:rsidRPr="0015304F">
              <w:rPr>
                <w:i/>
                <w:sz w:val="20"/>
                <w:szCs w:val="28"/>
                <w:u w:val="single"/>
                <w:lang w:eastAsia="en-US"/>
              </w:rPr>
              <w:t>29.09.2025</w:t>
            </w:r>
          </w:p>
        </w:tc>
      </w:tr>
    </w:tbl>
    <w:p w:rsidR="00FE6701" w:rsidRDefault="00FE6701">
      <w:pPr>
        <w:pStyle w:val="afa"/>
        <w:spacing w:after="120"/>
        <w:ind w:firstLine="0"/>
        <w:jc w:val="center"/>
        <w:rPr>
          <w:szCs w:val="28"/>
        </w:rPr>
      </w:pPr>
    </w:p>
    <w:tbl>
      <w:tblPr>
        <w:tblW w:w="9288" w:type="dxa"/>
        <w:tblInd w:w="-2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6"/>
        <w:gridCol w:w="1866"/>
        <w:gridCol w:w="1873"/>
        <w:gridCol w:w="2483"/>
      </w:tblGrid>
      <w:tr w:rsidR="00FE6701" w:rsidTr="0015304F">
        <w:trPr>
          <w:trHeight w:val="20"/>
        </w:trPr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  <w:tcBorders>
              <w:top w:val="single" w:sz="6" w:space="0" w:color="000000"/>
            </w:tcBorders>
          </w:tcPr>
          <w:p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1. Шляхи руху до будівлі або </w:t>
            </w:r>
            <w:r>
              <w:rPr>
                <w:b/>
                <w:szCs w:val="28"/>
                <w:u w:val="single"/>
              </w:rPr>
              <w:t>споруди:</w:t>
            </w:r>
          </w:p>
        </w:tc>
        <w:tc>
          <w:tcPr>
            <w:tcW w:w="1866" w:type="dxa"/>
            <w:tcBorders>
              <w:top w:val="single" w:sz="6" w:space="0" w:color="000000"/>
            </w:tcBorders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</w:t>
            </w:r>
            <w:r>
              <w:t xml:space="preserve"> осіб з інвалідністю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 xml:space="preserve">для осіб з </w:t>
            </w:r>
            <w:r>
              <w:lastRenderedPageBreak/>
              <w:t xml:space="preserve">інвалідністю </w:t>
            </w:r>
            <w:r>
              <w:t>відсутні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поряд із входом облаштована велопарковка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6" w:type="dxa"/>
          </w:tcPr>
          <w:p w:rsidR="00FE6701" w:rsidRDefault="00FE6701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tabs>
                <w:tab w:val="center" w:pos="902"/>
              </w:tabs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входу 1 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пішохідних доріжок менше 1,8 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покриття</w:t>
            </w:r>
            <w:r>
              <w:rPr>
                <w:szCs w:val="28"/>
              </w:rPr>
              <w:t xml:space="preserve">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6" w:type="dxa"/>
          </w:tcPr>
          <w:p w:rsidR="00FE6701" w:rsidRDefault="00FE6701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 Так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Покриття не рівне, без вибоїн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</w:t>
            </w:r>
            <w:r>
              <w:rPr>
                <w:szCs w:val="28"/>
              </w:rPr>
              <w:t xml:space="preserve">таких доріжках відсутні перешкоди </w:t>
            </w:r>
            <w:r>
              <w:rPr>
                <w:szCs w:val="28"/>
              </w:rPr>
              <w:lastRenderedPageBreak/>
              <w:t>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</w:t>
            </w:r>
            <w:r>
              <w:rPr>
                <w:szCs w:val="28"/>
              </w:rPr>
              <w:lastRenderedPageBreak/>
              <w:t>бордюри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у темну пору доби наявне вуличне штучне освітлення </w:t>
            </w:r>
            <w:r>
              <w:rPr>
                <w:szCs w:val="28"/>
              </w:rPr>
              <w:t>шляхів руху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</w:t>
            </w:r>
            <w:r>
              <w:rPr>
                <w:szCs w:val="28"/>
              </w:rPr>
              <w:t xml:space="preserve">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</w:t>
            </w:r>
            <w:r>
              <w:rPr>
                <w:szCs w:val="28"/>
              </w:rPr>
              <w:t xml:space="preserve">шириною і висотою підйому сходинок, а також мають контрастне маркування кольором першої та останньої </w:t>
            </w:r>
            <w:r>
              <w:rPr>
                <w:szCs w:val="28"/>
              </w:rPr>
              <w:lastRenderedPageBreak/>
              <w:t>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</w:t>
            </w:r>
            <w:r>
              <w:rPr>
                <w:szCs w:val="28"/>
              </w:rPr>
              <w:t xml:space="preserve">ходи однакові, маркування відсутнє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Сму</w:t>
            </w:r>
            <w:r>
              <w:rPr>
                <w:szCs w:val="28"/>
              </w:rPr>
              <w:t>га відсутня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інший вхід теж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 xml:space="preserve">наявна зовнішня </w:t>
            </w:r>
            <w:r>
              <w:t>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2483" w:type="dxa"/>
          </w:tcPr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</w:t>
            </w:r>
            <w:r>
              <w:rPr>
                <w:szCs w:val="28"/>
              </w:rPr>
              <w:t>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lastRenderedPageBreak/>
              <w:t>сантиметрів)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</w:t>
            </w:r>
            <w:r>
              <w:rPr>
                <w:szCs w:val="28"/>
              </w:rPr>
              <w:t xml:space="preserve">аркування відсутнє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</w:t>
            </w:r>
            <w:r>
              <w:rPr>
                <w:szCs w:val="28"/>
              </w:rPr>
              <w:t>спеціальним пристосуванням для фіксації дверних стулок у положенні “відчинено”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</w:t>
            </w:r>
            <w:r>
              <w:rPr>
                <w:szCs w:val="28"/>
              </w:rPr>
              <w:t>ольором на висоті 1 метр — 1,5 метра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більше ніж 0,8 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</w:t>
            </w:r>
            <w:r>
              <w:rPr>
                <w:szCs w:val="28"/>
              </w:rPr>
              <w:t>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наявні і їх висота більше 2 </w:t>
            </w:r>
            <w:r>
              <w:rPr>
                <w:szCs w:val="28"/>
              </w:rPr>
              <w:t>см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</w:t>
            </w:r>
            <w:r>
              <w:t>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  <w:p w:rsidR="00FE6701" w:rsidRDefault="00FE6701">
            <w:pPr>
              <w:widowControl w:val="0"/>
              <w:ind w:firstLine="720"/>
              <w:rPr>
                <w:szCs w:val="28"/>
              </w:rPr>
            </w:pP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FE6701" w:rsidRDefault="00FE6701">
            <w:pPr>
              <w:widowControl w:val="0"/>
              <w:rPr>
                <w:sz w:val="20"/>
              </w:rPr>
            </w:pPr>
          </w:p>
          <w:p w:rsidR="00FE6701" w:rsidRDefault="00FE6701">
            <w:pPr>
              <w:widowControl w:val="0"/>
              <w:jc w:val="center"/>
              <w:rPr>
                <w:sz w:val="20"/>
              </w:rPr>
            </w:pPr>
          </w:p>
          <w:p w:rsidR="00FE6701" w:rsidRDefault="00FE6701">
            <w:pPr>
              <w:widowControl w:val="0"/>
              <w:jc w:val="center"/>
              <w:rPr>
                <w:sz w:val="20"/>
              </w:rPr>
            </w:pPr>
          </w:p>
          <w:p w:rsidR="00FE6701" w:rsidRDefault="00FE6701">
            <w:pPr>
              <w:widowControl w:val="0"/>
              <w:jc w:val="center"/>
              <w:rPr>
                <w:sz w:val="20"/>
              </w:rPr>
            </w:pP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</w:t>
            </w:r>
            <w:r>
              <w:rPr>
                <w:szCs w:val="28"/>
              </w:rPr>
              <w:t xml:space="preserve"> опадів навісом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FE6701" w:rsidRDefault="00FE6701">
            <w:pPr>
              <w:widowControl w:val="0"/>
              <w:rPr>
                <w:sz w:val="20"/>
              </w:rPr>
            </w:pPr>
          </w:p>
          <w:p w:rsidR="00FE6701" w:rsidRDefault="00FE6701">
            <w:pPr>
              <w:widowControl w:val="0"/>
              <w:rPr>
                <w:sz w:val="20"/>
              </w:rPr>
            </w:pP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Так           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:rsidR="00FE6701" w:rsidRDefault="00FE6701">
            <w:pPr>
              <w:widowControl w:val="0"/>
              <w:rPr>
                <w:sz w:val="20"/>
              </w:rPr>
            </w:pPr>
          </w:p>
          <w:p w:rsidR="00FE6701" w:rsidRDefault="00FE6701">
            <w:pPr>
              <w:widowControl w:val="0"/>
              <w:rPr>
                <w:sz w:val="20"/>
              </w:rPr>
            </w:pP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турнікета, а за наявності — ширина проходу у просвіті становить не менше </w:t>
            </w:r>
            <w:r>
              <w:rPr>
                <w:szCs w:val="28"/>
              </w:rPr>
              <w:lastRenderedPageBreak/>
              <w:t>ніж 1 метр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0,8 метра</w:t>
            </w:r>
          </w:p>
          <w:p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:rsidR="00FE6701" w:rsidRDefault="00FE6701">
            <w:pPr>
              <w:widowControl w:val="0"/>
              <w:spacing w:before="120"/>
              <w:rPr>
                <w:sz w:val="20"/>
              </w:rPr>
            </w:pP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 xml:space="preserve">3. Шляхи руху всередині будівлі або </w:t>
            </w:r>
            <w:r>
              <w:rPr>
                <w:b/>
                <w:szCs w:val="28"/>
                <w:u w:val="single"/>
              </w:rPr>
              <w:t>споруди, приміщення, де надається послуга, допоміжні приміщення: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 ,  </w:t>
            </w:r>
            <w:r>
              <w:rPr>
                <w:szCs w:val="28"/>
              </w:rPr>
              <w:t>пандус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</w:t>
            </w:r>
            <w:r>
              <w:rPr>
                <w:szCs w:val="28"/>
              </w:rPr>
              <w:t xml:space="preserve">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</w:t>
            </w:r>
            <w:r>
              <w:rPr>
                <w:szCs w:val="28"/>
              </w:rPr>
              <w:t xml:space="preserve">иною і висотою підйому сходинок, а також </w:t>
            </w:r>
            <w:r>
              <w:rPr>
                <w:szCs w:val="28"/>
              </w:rPr>
              <w:lastRenderedPageBreak/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мар</w:t>
            </w:r>
            <w:r>
              <w:rPr>
                <w:szCs w:val="28"/>
              </w:rPr>
              <w:t xml:space="preserve">кування відсутнє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ширина дверних отворів ста</w:t>
            </w:r>
            <w:r>
              <w:rPr>
                <w:szCs w:val="28"/>
              </w:rPr>
              <w:t xml:space="preserve">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ніж 0,8 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</w:t>
            </w:r>
            <w:r>
              <w:rPr>
                <w:szCs w:val="28"/>
              </w:rPr>
              <w:t xml:space="preserve">евищують </w:t>
            </w:r>
            <w:r>
              <w:rPr>
                <w:szCs w:val="28"/>
              </w:rPr>
              <w:lastRenderedPageBreak/>
              <w:t>2 сантиметри, між горизонтальними ділянками підлоги влаштовані скоси або пандус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</w:t>
            </w:r>
            <w:r>
              <w:rPr>
                <w:szCs w:val="28"/>
              </w:rPr>
              <w:t xml:space="preserve"> порушенням зору, а за відсутності — на них нанесено контрастне маркування кольором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</w:t>
            </w:r>
            <w:r>
              <w:rPr>
                <w:szCs w:val="28"/>
              </w:rPr>
              <w:t xml:space="preserve">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</w:t>
            </w:r>
            <w:r>
              <w:rPr>
                <w:szCs w:val="28"/>
              </w:rPr>
              <w:t>ів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 xml:space="preserve">, що виступають над поверхнею підлоги (конструкції, </w:t>
            </w:r>
            <w:r>
              <w:t xml:space="preserve">бордюри, </w:t>
            </w:r>
            <w:r>
              <w:lastRenderedPageBreak/>
              <w:t>пороги тощо)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</w:t>
            </w:r>
            <w:r>
              <w:t>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У туалеті не забезпечено вільний простір для маневрування крісла колісного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</w:t>
            </w:r>
            <w:r>
              <w:rPr>
                <w:szCs w:val="28"/>
              </w:rPr>
              <w:t xml:space="preserve">ічні приміщення відсутні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Сан</w:t>
            </w:r>
            <w:r>
              <w:rPr>
                <w:szCs w:val="28"/>
              </w:rPr>
              <w:t>ітарно-гігієнічні та інші приміщення відсутні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шляхи і напрямки руху, доступні та безпечні для осіб з інвалідністю, </w:t>
            </w:r>
            <w:r>
              <w:rPr>
                <w:szCs w:val="28"/>
              </w:rPr>
              <w:lastRenderedPageBreak/>
              <w:t>позначено міжнародним символом доступності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</w:t>
            </w:r>
            <w:r>
              <w:rPr>
                <w:szCs w:val="28"/>
              </w:rPr>
              <w:lastRenderedPageBreak/>
              <w:t>позначені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15) місце </w:t>
            </w:r>
            <w:r>
              <w:rPr>
                <w:szCs w:val="28"/>
              </w:rPr>
              <w:t>розташування пандуса (за наявності) позначено міжнародним символом доступності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 xml:space="preserve">1,2—1,6 метра від </w:t>
            </w:r>
            <w:r>
              <w:rPr>
                <w:szCs w:val="28"/>
              </w:rPr>
              <w:t>підлоги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</w:t>
            </w:r>
            <w:r>
              <w:rPr>
                <w:szCs w:val="28"/>
              </w:rPr>
              <w:t>актильна смуга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</w:t>
            </w:r>
            <w:r>
              <w:rPr>
                <w:szCs w:val="28"/>
              </w:rPr>
              <w:t xml:space="preserve">аудиторіях і кабінетах створено освітленість (рівень освітлення), що дає змогу побачити </w:t>
            </w:r>
            <w:r>
              <w:rPr>
                <w:szCs w:val="28"/>
              </w:rPr>
              <w:lastRenderedPageBreak/>
              <w:t>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Так, рівень </w:t>
            </w:r>
            <w:r>
              <w:rPr>
                <w:szCs w:val="28"/>
              </w:rPr>
              <w:t>освітлення відповідає нормам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</w:t>
            </w:r>
            <w:r>
              <w:rPr>
                <w:szCs w:val="28"/>
              </w:rPr>
              <w:t>сутні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</w:t>
            </w:r>
            <w:r>
              <w:rPr>
                <w:szCs w:val="28"/>
              </w:rPr>
              <w:t>іж 1,2 метра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Висота столів </w:t>
            </w:r>
            <w:r>
              <w:rPr>
                <w:szCs w:val="28"/>
              </w:rPr>
              <w:t>0,74 м із вільним простором під стільницею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</w:t>
            </w:r>
            <w:r>
              <w:rPr>
                <w:szCs w:val="28"/>
              </w:rPr>
              <w:lastRenderedPageBreak/>
              <w:t>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</w:t>
            </w:r>
            <w:r>
              <w:rPr>
                <w:szCs w:val="28"/>
              </w:rPr>
              <w:lastRenderedPageBreak/>
              <w:t>інформація про них для осіб, що мають порушення зору чи слуху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</w:t>
            </w:r>
            <w:r>
              <w:rPr>
                <w:szCs w:val="28"/>
              </w:rPr>
              <w:t>іслах колісних, мають порушення зору чи слуху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ПРУ № 14373 відсутні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ПРУ № 14373 займає підвальне приміщення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</w:t>
            </w:r>
            <w:r>
              <w:rPr>
                <w:szCs w:val="28"/>
              </w:rPr>
              <w:t xml:space="preserve">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</w:t>
            </w:r>
            <w:r>
              <w:rPr>
                <w:szCs w:val="28"/>
              </w:rPr>
              <w:t>іж 5 сантиметрів)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паралельно до </w:t>
            </w:r>
            <w:r>
              <w:rPr>
                <w:szCs w:val="28"/>
              </w:rPr>
              <w:lastRenderedPageBreak/>
              <w:t>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t xml:space="preserve">Відсутня </w:t>
            </w:r>
            <w:r>
              <w:lastRenderedPageBreak/>
              <w:t>попереджувальна тактильна смуга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у разі розташування приміщень, де </w:t>
            </w:r>
            <w:r>
              <w:rPr>
                <w:szCs w:val="28"/>
              </w:rPr>
              <w:t>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248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ПРУ №14373  не обладнане ліфтом, ескалатором, підйомником</w:t>
            </w:r>
          </w:p>
        </w:tc>
      </w:tr>
      <w:tr w:rsidR="0015304F" w:rsidTr="0015304F">
        <w:trPr>
          <w:trHeight w:val="20"/>
        </w:trPr>
        <w:tc>
          <w:tcPr>
            <w:tcW w:w="3066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6" w:type="dxa"/>
          </w:tcPr>
          <w:p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2483" w:type="dxa"/>
          </w:tcPr>
          <w:p w:rsidR="0015304F" w:rsidRDefault="0015304F" w:rsidP="0015304F">
            <w:r w:rsidRPr="003B7EE3">
              <w:rPr>
                <w:szCs w:val="28"/>
                <w:highlight w:val="yellow"/>
              </w:rPr>
              <w:t>Не застосовується</w:t>
            </w:r>
            <w:r w:rsidRPr="003B7EE3">
              <w:rPr>
                <w:szCs w:val="28"/>
              </w:rPr>
              <w:t xml:space="preserve"> </w:t>
            </w:r>
          </w:p>
        </w:tc>
      </w:tr>
      <w:tr w:rsidR="0015304F" w:rsidTr="0015304F">
        <w:trPr>
          <w:trHeight w:val="20"/>
        </w:trPr>
        <w:tc>
          <w:tcPr>
            <w:tcW w:w="3066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6" w:type="dxa"/>
          </w:tcPr>
          <w:p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5304F" w:rsidRDefault="0015304F" w:rsidP="0015304F">
            <w:r w:rsidRPr="003B7EE3">
              <w:rPr>
                <w:szCs w:val="28"/>
                <w:highlight w:val="yellow"/>
              </w:rPr>
              <w:t>Не застосовується</w:t>
            </w:r>
            <w:r w:rsidRPr="003B7EE3">
              <w:rPr>
                <w:szCs w:val="28"/>
              </w:rPr>
              <w:t xml:space="preserve"> </w:t>
            </w:r>
          </w:p>
        </w:tc>
      </w:tr>
      <w:tr w:rsidR="0015304F" w:rsidTr="0015304F">
        <w:trPr>
          <w:trHeight w:val="20"/>
        </w:trPr>
        <w:tc>
          <w:tcPr>
            <w:tcW w:w="3066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1866" w:type="dxa"/>
          </w:tcPr>
          <w:p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5304F" w:rsidRDefault="0015304F" w:rsidP="0015304F">
            <w:r w:rsidRPr="003B7EE3">
              <w:rPr>
                <w:szCs w:val="28"/>
                <w:highlight w:val="yellow"/>
              </w:rPr>
              <w:t>Не застосовується</w:t>
            </w:r>
            <w:r w:rsidRPr="003B7EE3">
              <w:rPr>
                <w:szCs w:val="28"/>
              </w:rPr>
              <w:t xml:space="preserve"> </w:t>
            </w:r>
          </w:p>
        </w:tc>
      </w:tr>
      <w:tr w:rsidR="0015304F" w:rsidTr="0015304F">
        <w:trPr>
          <w:trHeight w:val="20"/>
        </w:trPr>
        <w:tc>
          <w:tcPr>
            <w:tcW w:w="3066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підлогою </w:t>
            </w:r>
            <w:r>
              <w:rPr>
                <w:szCs w:val="28"/>
              </w:rPr>
              <w:lastRenderedPageBreak/>
              <w:t>поверху (допускається відхилення не більше ніж на 2 сантиметри)</w:t>
            </w:r>
          </w:p>
        </w:tc>
        <w:tc>
          <w:tcPr>
            <w:tcW w:w="1866" w:type="dxa"/>
          </w:tcPr>
          <w:p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5304F" w:rsidRDefault="0015304F" w:rsidP="0015304F">
            <w:r w:rsidRPr="003B7EE3">
              <w:rPr>
                <w:szCs w:val="28"/>
                <w:highlight w:val="yellow"/>
              </w:rPr>
              <w:t>Не застосовується</w:t>
            </w:r>
            <w:r w:rsidRPr="003B7EE3">
              <w:rPr>
                <w:szCs w:val="28"/>
              </w:rPr>
              <w:t xml:space="preserve"> </w:t>
            </w:r>
          </w:p>
        </w:tc>
      </w:tr>
      <w:tr w:rsidR="0015304F" w:rsidTr="0015304F">
        <w:trPr>
          <w:trHeight w:val="20"/>
        </w:trPr>
        <w:tc>
          <w:tcPr>
            <w:tcW w:w="3066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1866" w:type="dxa"/>
          </w:tcPr>
          <w:p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:rsidR="0015304F" w:rsidRDefault="0015304F" w:rsidP="0015304F">
            <w:r w:rsidRPr="003B7EE3">
              <w:rPr>
                <w:szCs w:val="28"/>
                <w:highlight w:val="yellow"/>
              </w:rPr>
              <w:t>Не застосовується</w:t>
            </w:r>
            <w:r w:rsidRPr="003B7EE3">
              <w:rPr>
                <w:szCs w:val="28"/>
              </w:rPr>
              <w:t xml:space="preserve">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15304F">
            <w:pPr>
              <w:widowControl w:val="0"/>
              <w:spacing w:before="120"/>
              <w:rPr>
                <w:szCs w:val="28"/>
              </w:rPr>
            </w:pPr>
            <w:r w:rsidRPr="0015304F">
              <w:rPr>
                <w:szCs w:val="28"/>
                <w:highlight w:val="yellow"/>
              </w:rPr>
              <w:t>Не застосовується</w:t>
            </w:r>
            <w:r w:rsidR="00686BCD">
              <w:rPr>
                <w:szCs w:val="28"/>
              </w:rPr>
              <w:t xml:space="preserve"> </w:t>
            </w:r>
          </w:p>
        </w:tc>
      </w:tr>
      <w:tr w:rsidR="00FE6701" w:rsidTr="0015304F">
        <w:trPr>
          <w:trHeight w:val="20"/>
        </w:trPr>
        <w:tc>
          <w:tcPr>
            <w:tcW w:w="3066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</w:t>
            </w:r>
            <w:r>
              <w:rPr>
                <w:szCs w:val="28"/>
              </w:rPr>
              <w:t>ломобільним групам населення на 1-му поверсі</w:t>
            </w:r>
          </w:p>
        </w:tc>
        <w:tc>
          <w:tcPr>
            <w:tcW w:w="1866" w:type="dxa"/>
          </w:tcPr>
          <w:p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</w:tr>
    </w:tbl>
    <w:p w:rsidR="00FE6701" w:rsidRDefault="00686BCD">
      <w:pPr>
        <w:spacing w:before="120" w:after="120"/>
        <w:rPr>
          <w:b/>
          <w:szCs w:val="28"/>
        </w:rPr>
      </w:pPr>
      <w:r>
        <w:rPr>
          <w:szCs w:val="28"/>
        </w:rPr>
        <w:t xml:space="preserve">Висновок***:  </w:t>
      </w:r>
      <w:bookmarkStart w:id="0" w:name="_GoBack"/>
      <w:r w:rsidRPr="0015304F">
        <w:rPr>
          <w:b/>
          <w:i/>
          <w:szCs w:val="28"/>
          <w:u w:val="single"/>
        </w:rPr>
        <w:t>Об’єкт є бар’єрним</w:t>
      </w:r>
      <w:bookmarkEnd w:id="0"/>
    </w:p>
    <w:p w:rsidR="00FE6701" w:rsidRDefault="00686BCD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7"/>
        <w:gridCol w:w="565"/>
        <w:gridCol w:w="1419"/>
        <w:gridCol w:w="1701"/>
        <w:gridCol w:w="1699"/>
        <w:gridCol w:w="2132"/>
      </w:tblGrid>
      <w:tr w:rsidR="00FE6701">
        <w:trPr>
          <w:trHeight w:val="163"/>
        </w:trPr>
        <w:tc>
          <w:tcPr>
            <w:tcW w:w="9502" w:type="dxa"/>
            <w:gridSpan w:val="6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FE6701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FE6701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</w:t>
            </w:r>
            <w:r>
              <w:rPr>
                <w:szCs w:val="28"/>
              </w:rPr>
              <w:t>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FE6701">
        <w:trPr>
          <w:trHeight w:val="20"/>
        </w:trPr>
        <w:tc>
          <w:tcPr>
            <w:tcW w:w="1986" w:type="dxa"/>
            <w:shd w:val="clear" w:color="auto" w:fill="auto"/>
          </w:tcPr>
          <w:p w:rsidR="00FE6701" w:rsidRDefault="00153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5" w:type="dxa"/>
            <w:shd w:val="clear" w:color="auto" w:fill="auto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E6701">
        <w:trPr>
          <w:trHeight w:val="80"/>
        </w:trPr>
        <w:tc>
          <w:tcPr>
            <w:tcW w:w="1986" w:type="dxa"/>
            <w:shd w:val="clear" w:color="auto" w:fill="auto"/>
          </w:tcPr>
          <w:p w:rsidR="00FE6701" w:rsidRDefault="00153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5" w:type="dxa"/>
            <w:shd w:val="clear" w:color="auto" w:fill="auto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E6701">
        <w:trPr>
          <w:trHeight w:val="20"/>
        </w:trPr>
        <w:tc>
          <w:tcPr>
            <w:tcW w:w="1986" w:type="dxa"/>
            <w:shd w:val="clear" w:color="auto" w:fill="auto"/>
          </w:tcPr>
          <w:p w:rsidR="00FE6701" w:rsidRDefault="00153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5" w:type="dxa"/>
            <w:shd w:val="clear" w:color="auto" w:fill="auto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FE6701" w:rsidRDefault="00FE6701"/>
    <w:p w:rsidR="00FE6701" w:rsidRDefault="00FE6701"/>
    <w:p w:rsidR="00FE6701" w:rsidRDefault="00FE6701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7"/>
        <w:gridCol w:w="565"/>
        <w:gridCol w:w="1419"/>
        <w:gridCol w:w="1701"/>
        <w:gridCol w:w="1699"/>
        <w:gridCol w:w="2132"/>
      </w:tblGrid>
      <w:tr w:rsidR="00FE6701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 xml:space="preserve">хто </w:t>
            </w:r>
            <w:r>
              <w:rPr>
                <w:szCs w:val="28"/>
              </w:rPr>
              <w:t>навчається з початку року (у разі наявності)</w:t>
            </w:r>
          </w:p>
        </w:tc>
      </w:tr>
      <w:tr w:rsidR="00FE6701">
        <w:trPr>
          <w:trHeight w:val="20"/>
        </w:trPr>
        <w:tc>
          <w:tcPr>
            <w:tcW w:w="1986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Жінки</w:t>
            </w:r>
          </w:p>
        </w:tc>
        <w:tc>
          <w:tcPr>
            <w:tcW w:w="565" w:type="dxa"/>
            <w:shd w:val="clear" w:color="auto" w:fill="auto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E6701">
        <w:trPr>
          <w:trHeight w:val="20"/>
        </w:trPr>
        <w:tc>
          <w:tcPr>
            <w:tcW w:w="1986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5" w:type="dxa"/>
            <w:shd w:val="clear" w:color="auto" w:fill="auto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E6701">
        <w:trPr>
          <w:trHeight w:val="20"/>
        </w:trPr>
        <w:tc>
          <w:tcPr>
            <w:tcW w:w="1986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5" w:type="dxa"/>
            <w:shd w:val="clear" w:color="auto" w:fill="auto"/>
          </w:tcPr>
          <w:p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FE6701" w:rsidRDefault="00FE6701">
      <w:pPr>
        <w:spacing w:after="120"/>
        <w:rPr>
          <w:szCs w:val="28"/>
        </w:rPr>
      </w:pPr>
    </w:p>
    <w:p w:rsidR="00FE6701" w:rsidRDefault="00686BCD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 xml:space="preserve">* Критичність — рівень важливості показника, який вказує на наявність елемента доступності, без якого об’єкт не зможуть відвідати </w:t>
      </w:r>
      <w:r w:rsidRPr="0015304F">
        <w:rPr>
          <w:sz w:val="20"/>
        </w:rPr>
        <w:t>маломобільні групи населення.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** У графі “Відповідність критеріям” зазначається: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“ні” — у разі, коли елемент будівлі або споруди не відповідає опису та</w:t>
      </w:r>
      <w:r w:rsidRPr="0015304F">
        <w:rPr>
          <w:sz w:val="20"/>
        </w:rPr>
        <w:t xml:space="preserve"> параметрам критерію безбар’єрності;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</w:t>
      </w:r>
      <w:r w:rsidRPr="0015304F">
        <w:rPr>
          <w:sz w:val="20"/>
        </w:rPr>
        <w:t>араметрів пандусу, зазначається “не застосовується”). Такий критерій безбар’єрності не враховується під час підрахунку.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“об’єкт є безбар’єрним” — у разі, коли забезпече</w:t>
      </w:r>
      <w:r w:rsidRPr="0015304F">
        <w:rPr>
          <w:sz w:val="20"/>
        </w:rPr>
        <w:t>но відповідність всім, без винятку, критеріям безбар’єрності;</w:t>
      </w:r>
    </w:p>
    <w:p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15304F">
        <w:rPr>
          <w:sz w:val="20"/>
        </w:rPr>
        <w:t>критичиністю</w:t>
      </w:r>
      <w:proofErr w:type="spellEnd"/>
      <w:r w:rsidRPr="0015304F">
        <w:rPr>
          <w:sz w:val="20"/>
        </w:rPr>
        <w:t xml:space="preserve"> “так”, а в о</w:t>
      </w:r>
      <w:r w:rsidRPr="0015304F">
        <w:rPr>
          <w:sz w:val="20"/>
        </w:rPr>
        <w:t>дному і більше інших критеріях “ні”, такий об’єкт вважається частково безбар’єрним);</w:t>
      </w:r>
    </w:p>
    <w:p w:rsidR="00FE6701" w:rsidRPr="0015304F" w:rsidRDefault="00686BCD">
      <w:pPr>
        <w:widowControl w:val="0"/>
        <w:spacing w:after="120"/>
        <w:jc w:val="both"/>
        <w:rPr>
          <w:color w:val="000000" w:themeColor="text1"/>
          <w:sz w:val="20"/>
        </w:rPr>
      </w:pPr>
      <w:r w:rsidRPr="0015304F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</w:t>
      </w:r>
      <w:r w:rsidRPr="0015304F">
        <w:rPr>
          <w:color w:val="000000" w:themeColor="text1"/>
          <w:sz w:val="20"/>
        </w:rPr>
        <w:t>ий об’єкт вважається бар’єрним).</w:t>
      </w:r>
    </w:p>
    <w:p w:rsidR="00FE6701" w:rsidRDefault="00FE6701">
      <w:pPr>
        <w:widowControl w:val="0"/>
        <w:spacing w:after="120"/>
        <w:rPr>
          <w:rFonts w:eastAsiaTheme="minorEastAsia"/>
          <w:color w:val="000000"/>
          <w:szCs w:val="28"/>
        </w:rPr>
      </w:pPr>
    </w:p>
    <w:p w:rsidR="0015304F" w:rsidRDefault="00686BCD">
      <w:pPr>
        <w:widowControl w:val="0"/>
        <w:rPr>
          <w:rFonts w:eastAsiaTheme="minorEastAsia"/>
          <w:b/>
          <w:bCs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Личківського ліцею</w:t>
      </w:r>
      <w:r>
        <w:rPr>
          <w:rFonts w:eastAsiaTheme="minorEastAsia"/>
          <w:color w:val="000000"/>
          <w:szCs w:val="28"/>
        </w:rPr>
        <w:t xml:space="preserve"> </w:t>
      </w:r>
    </w:p>
    <w:p w:rsidR="0015304F" w:rsidRDefault="00686BCD">
      <w:pPr>
        <w:widowControl w:val="0"/>
        <w:rPr>
          <w:rFonts w:eastAsiaTheme="minorEastAsia"/>
          <w:color w:val="000000" w:themeColor="text1"/>
          <w:szCs w:val="28"/>
        </w:rPr>
      </w:pPr>
      <w:r>
        <w:rPr>
          <w:rFonts w:eastAsiaTheme="minorEastAsia"/>
          <w:b/>
          <w:color w:val="000000" w:themeColor="text1"/>
          <w:szCs w:val="28"/>
        </w:rPr>
        <w:t>Тетяна ЗОРІНА</w:t>
      </w:r>
      <w:r w:rsidR="0015304F">
        <w:rPr>
          <w:rFonts w:eastAsiaTheme="minorEastAsia"/>
          <w:b/>
          <w:color w:val="000000" w:themeColor="text1"/>
          <w:szCs w:val="28"/>
        </w:rPr>
        <w:t xml:space="preserve"> </w:t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  <w:t xml:space="preserve">_______________________ </w:t>
      </w:r>
    </w:p>
    <w:p w:rsidR="0015304F" w:rsidRPr="0015304F" w:rsidRDefault="0015304F">
      <w:pPr>
        <w:widowControl w:val="0"/>
        <w:rPr>
          <w:rFonts w:eastAsiaTheme="minorEastAsia"/>
          <w:color w:val="000000" w:themeColor="text1"/>
          <w:sz w:val="16"/>
          <w:szCs w:val="16"/>
        </w:rPr>
      </w:pP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 w:rsidRPr="0015304F">
        <w:rPr>
          <w:rFonts w:eastAsiaTheme="minorEastAsia"/>
          <w:color w:val="000000" w:themeColor="text1"/>
          <w:sz w:val="16"/>
          <w:szCs w:val="16"/>
        </w:rPr>
        <w:t>(Підпис)</w:t>
      </w:r>
    </w:p>
    <w:p w:rsidR="00FE6701" w:rsidRDefault="00FE6701">
      <w:pPr>
        <w:widowControl w:val="0"/>
        <w:spacing w:after="120"/>
        <w:jc w:val="both"/>
        <w:rPr>
          <w:rFonts w:eastAsiaTheme="minorEastAsia"/>
          <w:b/>
          <w:color w:val="000000" w:themeColor="text1"/>
          <w:sz w:val="20"/>
        </w:rPr>
      </w:pPr>
    </w:p>
    <w:p w:rsidR="00FE6701" w:rsidRDefault="00686BCD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15304F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15304F">
        <w:rPr>
          <w:rFonts w:eastAsiaTheme="minorEastAsia"/>
          <w:b/>
          <w:color w:val="000000"/>
          <w:sz w:val="24"/>
          <w:szCs w:val="24"/>
        </w:rPr>
        <w:t xml:space="preserve"> вересня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FE6701" w:rsidRDefault="00FE6701">
      <w:pPr>
        <w:widowControl w:val="0"/>
        <w:rPr>
          <w:rFonts w:eastAsiaTheme="minorEastAsia"/>
          <w:b/>
          <w:sz w:val="24"/>
          <w:szCs w:val="24"/>
          <w:lang w:val="zh-CN"/>
        </w:rPr>
      </w:pPr>
    </w:p>
    <w:p w:rsidR="0015304F" w:rsidRPr="0015304F" w:rsidRDefault="00686BCD">
      <w:pPr>
        <w:widowControl w:val="0"/>
        <w:rPr>
          <w:rFonts w:eastAsiaTheme="minorEastAsia"/>
          <w:b/>
          <w:sz w:val="20"/>
          <w:lang w:val="zh-CN"/>
        </w:rPr>
      </w:pPr>
      <w:r w:rsidRPr="0015304F">
        <w:rPr>
          <w:rFonts w:eastAsiaTheme="minorEastAsia"/>
          <w:b/>
          <w:sz w:val="20"/>
          <w:lang w:val="zh-CN"/>
        </w:rPr>
        <w:t xml:space="preserve">Виконавець: </w:t>
      </w:r>
    </w:p>
    <w:p w:rsidR="00FE6701" w:rsidRPr="0015304F" w:rsidRDefault="00686BCD">
      <w:pPr>
        <w:widowControl w:val="0"/>
        <w:rPr>
          <w:rFonts w:eastAsiaTheme="minorEastAsia"/>
          <w:b/>
          <w:color w:val="000000"/>
          <w:sz w:val="20"/>
        </w:rPr>
      </w:pPr>
      <w:r w:rsidRPr="0015304F">
        <w:rPr>
          <w:rFonts w:eastAsiaTheme="minorEastAsia"/>
          <w:b/>
          <w:sz w:val="20"/>
        </w:rPr>
        <w:t>Григорій САБАКАР,</w:t>
      </w:r>
      <w:r w:rsidRPr="0015304F">
        <w:rPr>
          <w:rFonts w:eastAsiaTheme="minorEastAsia"/>
          <w:b/>
          <w:sz w:val="20"/>
          <w:lang w:val="zh-CN"/>
        </w:rPr>
        <w:t xml:space="preserve"> </w:t>
      </w:r>
      <w:r w:rsidRPr="0015304F">
        <w:rPr>
          <w:rFonts w:eastAsiaTheme="minorEastAsia"/>
          <w:b/>
          <w:sz w:val="20"/>
        </w:rPr>
        <w:t>+38 (</w:t>
      </w:r>
      <w:r w:rsidRPr="0015304F">
        <w:rPr>
          <w:rFonts w:eastAsiaTheme="minorEastAsia"/>
          <w:b/>
          <w:sz w:val="20"/>
          <w:lang w:val="zh-CN"/>
        </w:rPr>
        <w:t>050</w:t>
      </w:r>
      <w:r w:rsidRPr="0015304F">
        <w:rPr>
          <w:rFonts w:eastAsiaTheme="minorEastAsia"/>
          <w:b/>
          <w:sz w:val="20"/>
        </w:rPr>
        <w:t xml:space="preserve">) </w:t>
      </w:r>
      <w:r w:rsidRPr="0015304F">
        <w:rPr>
          <w:rFonts w:eastAsiaTheme="minorEastAsia"/>
          <w:b/>
          <w:sz w:val="20"/>
        </w:rPr>
        <w:t>730 88 07</w:t>
      </w:r>
    </w:p>
    <w:p w:rsidR="00FE6701" w:rsidRDefault="00686BCD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FE6701" w:rsidRDefault="00FE6701">
      <w:pPr>
        <w:rPr>
          <w:sz w:val="24"/>
          <w:szCs w:val="24"/>
        </w:rPr>
      </w:pPr>
    </w:p>
    <w:sectPr w:rsidR="00FE6701">
      <w:headerReference w:type="even" r:id="rId9"/>
      <w:headerReference w:type="default" r:id="rId10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6BCD">
      <w:r>
        <w:separator/>
      </w:r>
    </w:p>
  </w:endnote>
  <w:endnote w:type="continuationSeparator" w:id="0">
    <w:p w:rsidR="00000000" w:rsidRDefault="0068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;Roboto;RobotoDraf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6BCD">
      <w:r>
        <w:separator/>
      </w:r>
    </w:p>
  </w:footnote>
  <w:footnote w:type="continuationSeparator" w:id="0">
    <w:p w:rsidR="00000000" w:rsidRDefault="0068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01" w:rsidRDefault="00686BCD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6701" w:rsidRDefault="00686BCD">
                          <w:pPr>
                            <w:pStyle w:val="aff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W4YiTe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FE6701" w:rsidRDefault="00686BCD">
                    <w:pPr>
                      <w:pStyle w:val="aff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7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3" name="Рам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6701" w:rsidRDefault="00686BCD">
                          <w:pPr>
                            <w:pStyle w:val="aff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2" o:spid="_x0000_s1027" style="position:absolute;margin-left:0;margin-top:.05pt;width:14.05pt;height:16pt;z-index:3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" o:allowincell="f" filled="f" stroked="f" strokeweight="0">
              <v:textbox style="mso-fit-shape-to-text:t" inset="0,0,0,0">
                <w:txbxContent>
                  <w:p w:rsidR="00FE6701" w:rsidRDefault="00686BCD">
                    <w:pPr>
                      <w:pStyle w:val="aff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01" w:rsidRDefault="00686BCD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5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6701" w:rsidRDefault="00686BCD">
                          <w:pPr>
                            <w:pStyle w:val="aff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8" style="position:absolute;margin-left:0;margin-top:.05pt;width:14.05pt;height:16pt;z-index:3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" o:allowincell="f" filled="f" stroked="f" strokeweight="0">
              <v:textbox style="mso-fit-shape-to-text:t" inset="0,0,0,0">
                <w:txbxContent>
                  <w:p w:rsidR="00FE6701" w:rsidRDefault="00686BCD">
                    <w:pPr>
                      <w:pStyle w:val="aff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1"/>
    <w:rsid w:val="0015304F"/>
    <w:rsid w:val="00686BCD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1C0"/>
  <w15:docId w15:val="{9890348B-28B0-4549-806C-B56A7C0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/>
    <w:lsdException w:name="caption" w:qFormat="1"/>
    <w:lsdException w:name="annotation reference" w:uiPriority="99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eastAsia="uk-UA" w:bidi="ar-S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character" w:customStyle="1" w:styleId="a6">
    <w:name w:val="Заголовок Знак"/>
    <w:basedOn w:val="a0"/>
    <w:link w:val="a7"/>
    <w:qFormat/>
    <w:rPr>
      <w:b/>
      <w:sz w:val="72"/>
      <w:szCs w:val="72"/>
      <w:lang w:eastAsia="ru-RU"/>
    </w:rPr>
  </w:style>
  <w:style w:type="character" w:customStyle="1" w:styleId="a8">
    <w:name w:val="Текст выноски Знак"/>
    <w:basedOn w:val="a0"/>
    <w:link w:val="a9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</w:style>
  <w:style w:type="character" w:customStyle="1" w:styleId="ac">
    <w:name w:val="Верхний колонтитул Знак"/>
    <w:basedOn w:val="a0"/>
    <w:link w:val="ad"/>
    <w:uiPriority w:val="99"/>
    <w:qFormat/>
  </w:style>
  <w:style w:type="character" w:customStyle="1" w:styleId="ae">
    <w:name w:val="Текст примечания Знак"/>
    <w:basedOn w:val="a0"/>
    <w:link w:val="af"/>
    <w:uiPriority w:val="99"/>
    <w:qFormat/>
    <w:rPr>
      <w:sz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qFormat/>
    <w:rPr>
      <w:b/>
      <w:bCs/>
      <w:sz w:val="20"/>
      <w:lang w:eastAsia="ru-RU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2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rvts23">
    <w:name w:val="rvts23"/>
    <w:basedOn w:val="a0"/>
    <w:qFormat/>
  </w:style>
  <w:style w:type="character" w:customStyle="1" w:styleId="rvts44">
    <w:name w:val="rvts44"/>
    <w:basedOn w:val="a0"/>
    <w:qFormat/>
  </w:style>
  <w:style w:type="paragraph" w:styleId="a7">
    <w:name w:val="Title"/>
    <w:basedOn w:val="a"/>
    <w:next w:val="af4"/>
    <w:link w:val="a6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qFormat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link w:val="a8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f">
    <w:name w:val="annotation text"/>
    <w:basedOn w:val="a"/>
    <w:link w:val="ae"/>
    <w:uiPriority w:val="99"/>
    <w:unhideWhenUsed/>
    <w:qFormat/>
    <w:rPr>
      <w:sz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unhideWhenUsed/>
    <w:qFormat/>
    <w:rPr>
      <w:b/>
      <w:bCs/>
    </w:rPr>
  </w:style>
  <w:style w:type="paragraph" w:customStyle="1" w:styleId="af8">
    <w:name w:val="Верхній і нижній колонтитули"/>
    <w:basedOn w:val="a"/>
    <w:qFormat/>
  </w:style>
  <w:style w:type="paragraph" w:styleId="ad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2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afa">
    <w:name w:val="Нормальний текст"/>
    <w:basedOn w:val="a"/>
    <w:qFormat/>
    <w:pPr>
      <w:spacing w:before="120"/>
      <w:ind w:firstLine="567"/>
    </w:pPr>
  </w:style>
  <w:style w:type="paragraph" w:customStyle="1" w:styleId="afb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vertAlign w:val="subscript"/>
    </w:rPr>
  </w:style>
  <w:style w:type="paragraph" w:customStyle="1" w:styleId="afc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d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e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f">
    <w:name w:val="Вид документа"/>
    <w:basedOn w:val="afe"/>
    <w:next w:val="a"/>
    <w:qFormat/>
    <w:pPr>
      <w:spacing w:before="360" w:after="240"/>
    </w:pPr>
    <w:rPr>
      <w:spacing w:val="20"/>
      <w:sz w:val="26"/>
    </w:rPr>
  </w:style>
  <w:style w:type="paragraph" w:customStyle="1" w:styleId="aff0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f1">
    <w:name w:val="Назва документа"/>
    <w:basedOn w:val="a"/>
    <w:next w:val="afa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Autospacing="1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Autospacing="1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Autospacing="1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st7">
    <w:name w:val="st7"/>
    <w:uiPriority w:val="99"/>
    <w:qFormat/>
    <w:pPr>
      <w:widowControl w:val="0"/>
      <w:spacing w:before="120" w:after="120"/>
      <w:ind w:left="360" w:right="360"/>
      <w:jc w:val="center"/>
    </w:pPr>
    <w:rPr>
      <w:sz w:val="24"/>
      <w:szCs w:val="24"/>
      <w:lang w:val="zh-CN" w:eastAsia="uk-UA" w:bidi="ar-SA"/>
    </w:rPr>
  </w:style>
  <w:style w:type="paragraph" w:customStyle="1" w:styleId="st14">
    <w:name w:val="st14"/>
    <w:uiPriority w:val="99"/>
    <w:qFormat/>
    <w:pPr>
      <w:widowControl w:val="0"/>
      <w:spacing w:before="120" w:after="120"/>
    </w:pPr>
    <w:rPr>
      <w:sz w:val="24"/>
      <w:szCs w:val="24"/>
      <w:lang w:val="zh-CN" w:eastAsia="uk-UA" w:bidi="ar-SA"/>
    </w:rPr>
  </w:style>
  <w:style w:type="paragraph" w:customStyle="1" w:styleId="12">
    <w:name w:val="Рецензия1"/>
    <w:uiPriority w:val="99"/>
    <w:semiHidden/>
    <w:qFormat/>
    <w:rPr>
      <w:rFonts w:eastAsia="Times New Roman"/>
      <w:sz w:val="28"/>
      <w:lang w:eastAsia="uk-UA" w:bidi="ar-SA"/>
    </w:rPr>
  </w:style>
  <w:style w:type="paragraph" w:customStyle="1" w:styleId="rvps6">
    <w:name w:val="rvps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f3">
    <w:name w:val="Вміст рамки"/>
    <w:basedOn w:val="a"/>
    <w:qFormat/>
  </w:style>
  <w:style w:type="table" w:styleId="aff4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4617941512229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CDD1B-2E1D-4354-96D6-28E139D5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17</Pages>
  <Words>2701</Words>
  <Characters>15400</Characters>
  <Application>Microsoft Office Word</Application>
  <DocSecurity>0</DocSecurity>
  <Lines>128</Lines>
  <Paragraphs>36</Paragraphs>
  <ScaleCrop>false</ScaleCrop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Сонце</cp:lastModifiedBy>
  <cp:revision>70</cp:revision>
  <cp:lastPrinted>2025-06-27T12:08:00Z</cp:lastPrinted>
  <dcterms:created xsi:type="dcterms:W3CDTF">2025-03-20T15:55:00Z</dcterms:created>
  <dcterms:modified xsi:type="dcterms:W3CDTF">2025-09-22T08:09:00Z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3727E6C80CC24AADBFB10888F0A41887_12</vt:lpwstr>
  </property>
  <property fmtid="{D5CDD505-2E9C-101B-9397-08002B2CF9AE}" pid="3" name="KSOProductBuildVer">
    <vt:lpwstr>1049-12.2.0.21546</vt:lpwstr>
  </property>
</Properties>
</file>