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C9D3792" w:rsidR="00C96A29" w:rsidRPr="006B6C31" w:rsidRDefault="00C96A29" w:rsidP="002A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 xml:space="preserve">Приорільський старостинський округ №2 Личківської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A25DA8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7DDCCCD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r w:rsidR="00A25DA8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B6D8325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A25DA8">
              <w:rPr>
                <w:i/>
                <w:sz w:val="28"/>
                <w:szCs w:val="28"/>
                <w:u w:val="single"/>
              </w:rPr>
              <w:t>Сонячна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35ECF75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30DF66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A25DA8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7CE43191" w:rsidR="00C96A29" w:rsidRPr="009A5CBB" w:rsidRDefault="00C96A29" w:rsidP="009A5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A25DA8">
              <w:rPr>
                <w:sz w:val="28"/>
                <w:szCs w:val="28"/>
                <w:lang w:val="ru-RU"/>
              </w:rPr>
              <w:t xml:space="preserve">+38(097) 350 1945,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A25DA8" w:rsidRPr="00A6514B">
                <w:rPr>
                  <w:rStyle w:val="af5"/>
                  <w:szCs w:val="28"/>
                  <w:lang w:val="ru-RU"/>
                </w:rPr>
                <w:t>alit26-64@meta.ua</w:t>
              </w:r>
            </w:hyperlink>
            <w:r w:rsidR="00A25DA8">
              <w:rPr>
                <w:sz w:val="28"/>
                <w:szCs w:val="28"/>
                <w:lang w:val="ru-RU"/>
              </w:rPr>
              <w:t>,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C6D36FD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  <w:r w:rsidR="009A5CBB">
              <w:rPr>
                <w:sz w:val="28"/>
                <w:szCs w:val="28"/>
              </w:rPr>
              <w:t xml:space="preserve"> </w:t>
            </w:r>
            <w:hyperlink r:id="rId9" w:history="1">
              <w:r w:rsidR="009A5CBB" w:rsidRPr="00A6514B">
                <w:rPr>
                  <w:rStyle w:val="af5"/>
                  <w:szCs w:val="28"/>
                  <w:lang w:val="ru-RU"/>
                </w:rPr>
                <w:t>https://www.facebook.com/groups/753682458526052/</w:t>
              </w:r>
            </w:hyperlink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8B6329D" w:rsidR="00C96A29" w:rsidRPr="006B6C31" w:rsidRDefault="00C96A29" w:rsidP="009A5CB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2</w:t>
            </w:r>
            <w:r w:rsidR="009A5CBB">
              <w:rPr>
                <w:i/>
                <w:sz w:val="28"/>
                <w:szCs w:val="28"/>
                <w:u w:val="single"/>
              </w:rPr>
              <w:t>9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.0</w:t>
            </w:r>
            <w:r w:rsidR="009A5CBB">
              <w:rPr>
                <w:i/>
                <w:sz w:val="28"/>
                <w:szCs w:val="28"/>
                <w:u w:val="single"/>
              </w:rPr>
              <w:t>9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9219C3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9219C3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219C3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DE39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  <w:p w14:paraId="3856F150" w14:textId="3EC3E691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C7113D3" wp14:editId="3E4B53B1">
                  <wp:extent cx="977900" cy="7333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50925_085107_17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61" cy="74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4FE66D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56B97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E41E8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відсутня </w:t>
            </w:r>
          </w:p>
          <w:p w14:paraId="373BD23D" w14:textId="6B4846E9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85ECF5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844A59B" wp14:editId="6C91E7D9">
                  <wp:extent cx="968375" cy="726254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50925_085107_1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67" cy="73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1D03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  <w:r w:rsidRPr="006B6C31">
              <w:rPr>
                <w:szCs w:val="28"/>
              </w:rPr>
              <w:t>на кріслах колісних</w:t>
            </w:r>
            <w:r>
              <w:rPr>
                <w:szCs w:val="28"/>
              </w:rPr>
              <w:t xml:space="preserve"> </w:t>
            </w:r>
          </w:p>
          <w:p w14:paraId="18423823" w14:textId="33AA4E07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7803FC1" wp14:editId="15624CD5">
                  <wp:extent cx="911225" cy="683393"/>
                  <wp:effectExtent l="0" t="0" r="3175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50925_085046_62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33" cy="686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8C7B5A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56622A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FAE2691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6578CA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5B84F5A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5451615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379C6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CBF4EB7" w:rsidR="00C96A29" w:rsidRPr="006B6C31" w:rsidRDefault="00DB3C7A" w:rsidP="00DB3C7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тактильна смуга</w:t>
            </w:r>
            <w:r>
              <w:rPr>
                <w:szCs w:val="28"/>
              </w:rPr>
              <w:t xml:space="preserve"> відсутня</w:t>
            </w:r>
            <w:r w:rsidRPr="006B6C31">
              <w:rPr>
                <w:szCs w:val="28"/>
              </w:rPr>
              <w:t xml:space="preserve"> для </w:t>
            </w:r>
            <w:r w:rsidRPr="00B21F82">
              <w:rPr>
                <w:szCs w:val="28"/>
              </w:rPr>
              <w:t>осіб з порушенням зору</w:t>
            </w:r>
          </w:p>
        </w:tc>
      </w:tr>
      <w:tr w:rsidR="009219C3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31337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5263E" w14:textId="77777777" w:rsidR="00C96A29" w:rsidRDefault="00BA31DD" w:rsidP="00A25DA8">
            <w:pPr>
              <w:spacing w:before="120"/>
              <w:jc w:val="center"/>
            </w:pPr>
            <w:r w:rsidRPr="006B6C31">
              <w:t>зовнішня тактильна табличка</w:t>
            </w:r>
            <w:r>
              <w:t xml:space="preserve"> присутня</w:t>
            </w:r>
            <w:r w:rsidR="009A5CBB">
              <w:t xml:space="preserve"> </w:t>
            </w:r>
          </w:p>
          <w:p w14:paraId="202B01F2" w14:textId="29DFEF4F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EC65F2" wp14:editId="21EEC027">
                  <wp:extent cx="949407" cy="71203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50925_085033_4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07" cy="71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F1E522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6942A" w14:textId="77777777" w:rsidR="00C96A29" w:rsidRDefault="00BA31DD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  <w:p w14:paraId="2589240E" w14:textId="0D055254" w:rsidR="009A5CBB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0340E4D" wp14:editId="7130FB76">
                  <wp:extent cx="939846" cy="70485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50925_085033_42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1" cy="71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5CD888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9219C3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A84EA3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5F0994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3EB4034F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EFC5AB" wp14:editId="713C63B6">
                  <wp:extent cx="997030" cy="7477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50925_085033_42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81" cy="75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4EA52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8CB11AE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FDE57BF" w:rsidR="00C96A29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Другу половину дверей </w:t>
            </w:r>
            <w:proofErr w:type="spellStart"/>
            <w:r>
              <w:rPr>
                <w:szCs w:val="28"/>
              </w:rPr>
              <w:t>можно</w:t>
            </w:r>
            <w:proofErr w:type="spellEnd"/>
            <w:r>
              <w:rPr>
                <w:szCs w:val="28"/>
              </w:rPr>
              <w:t xml:space="preserve"> відкрити за необхідністю</w:t>
            </w:r>
          </w:p>
        </w:tc>
      </w:tr>
      <w:tr w:rsidR="009219C3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C068FD1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89B13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до будівлі поріг відсутній</w:t>
            </w:r>
          </w:p>
          <w:p w14:paraId="38B3D697" w14:textId="23591284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B281D55" wp14:editId="3ABA0854">
                  <wp:extent cx="1022350" cy="766735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50925_085033_4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75" cy="76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F976BA9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F0A0065" wp14:editId="77D8E3BD">
                  <wp:extent cx="1063715" cy="797757"/>
                  <wp:effectExtent l="0" t="0" r="3175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50925_085021_83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58" cy="80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1B57D5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DCA9A82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96208E" wp14:editId="6AC88D4E">
                  <wp:extent cx="1043771" cy="782800"/>
                  <wp:effectExtent l="0" t="0" r="444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20250925_085046_62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65" cy="79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07E028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46F35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77F84A93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51F094" wp14:editId="57ADA697">
                  <wp:extent cx="939834" cy="704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50925_085033_4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80" cy="70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E8A08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9219C3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9219C3" w:rsidRDefault="00C96A29" w:rsidP="002E2C3F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F2E0C5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26D8436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9219C3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4A445D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7CCC05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1B6F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10FE945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A74B8FC" wp14:editId="01D35478">
                  <wp:extent cx="1025575" cy="769153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50925_084934_11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43" cy="77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B28B2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відсутні по всій будівлі </w:t>
            </w:r>
          </w:p>
          <w:p w14:paraId="3CF7FE85" w14:textId="0DDB5AAE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3327338" wp14:editId="60770093">
                  <wp:extent cx="1064098" cy="798044"/>
                  <wp:effectExtent l="0" t="0" r="317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250925_085002_70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9" cy="80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371DE2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B83980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9219C3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AC9548C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3C0255D" wp14:editId="4AF2893C">
                  <wp:extent cx="1034658" cy="775966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50925_085021_83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04" cy="7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2A28E60" wp14:editId="0B0931D4">
                  <wp:extent cx="1061085" cy="798830"/>
                  <wp:effectExtent l="0" t="0" r="571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DAC580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 приміщені відсутній</w:t>
            </w:r>
          </w:p>
        </w:tc>
      </w:tr>
      <w:tr w:rsidR="009219C3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BAF6B2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8EB6680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A6CCDA6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A06A3CF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0247398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1733960" wp14:editId="2BC742C0">
                  <wp:extent cx="959334" cy="719473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20250925_084934_115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40" cy="72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F4A85CD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494329D1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A81DCE" wp14:editId="22A417CE">
                  <wp:extent cx="958932" cy="719173"/>
                  <wp:effectExtent l="0" t="0" r="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20250925_084957_487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05" cy="7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309B071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66C16E2" wp14:editId="33741867">
                  <wp:extent cx="978377" cy="733756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20250925_084934_11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72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EBCA584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Відсутня інформація</w:t>
            </w:r>
          </w:p>
        </w:tc>
      </w:tr>
      <w:tr w:rsidR="009219C3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5546F27D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9219C3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219C3" w:rsidRDefault="00C96A29" w:rsidP="00A833AC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 xml:space="preserve">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A6F9B77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D1B1C2C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1D6368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F26C86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D1B61D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934E91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52B3F56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796CED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E6B258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61F9A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CF487F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</w:tbl>
    <w:p w14:paraId="394700F3" w14:textId="3CB8370B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частково безбар’єрним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80063D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64E662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3C2279AA" w14:textId="6B465093" w:rsidR="00C96A29" w:rsidRDefault="00C96A29" w:rsidP="00C96A29"/>
    <w:p w14:paraId="126716B4" w14:textId="2049FFCA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5F33A4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DA11461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AB61A56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A216E47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82457D0" w:rsidR="00B92B6E" w:rsidRPr="006B6C31" w:rsidRDefault="009219C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1A3FFD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8229ADB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EC72F7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D62532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FD7C97F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BAED54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A6FFDF2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22B8E2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922370D" w:rsidR="00B92B6E" w:rsidRPr="006B6C31" w:rsidRDefault="009219C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lastRenderedPageBreak/>
        <w:t>_____________</w:t>
      </w:r>
    </w:p>
    <w:p w14:paraId="5BA43B12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“ні” — у разі, коли елемент будівлі або споруд</w:t>
      </w:r>
      <w:r w:rsidR="00B92B6E" w:rsidRPr="009219C3">
        <w:rPr>
          <w:sz w:val="20"/>
        </w:rPr>
        <w:t>и</w:t>
      </w:r>
      <w:r w:rsidRPr="009219C3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9219C3">
        <w:rPr>
          <w:sz w:val="20"/>
        </w:rPr>
        <w:t>критичиністю</w:t>
      </w:r>
      <w:proofErr w:type="spellEnd"/>
      <w:r w:rsidRPr="009219C3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1FE4F18" w14:textId="77777777" w:rsidR="007D0831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Староста Приорільського</w:t>
      </w:r>
    </w:p>
    <w:p w14:paraId="76CAA258" w14:textId="71D9CB8B" w:rsidR="00480EC3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старостинського округу №2 Личківської ТГ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1F87F938" w:rsidR="00480E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ДОМНІЧ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41F3C9C0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D0831">
        <w:rPr>
          <w:rFonts w:eastAsiaTheme="minorEastAsia"/>
          <w:b/>
          <w:color w:val="000000"/>
          <w:sz w:val="24"/>
          <w:szCs w:val="24"/>
        </w:rPr>
        <w:t>2</w:t>
      </w:r>
      <w:r w:rsidR="009219C3">
        <w:rPr>
          <w:rFonts w:eastAsiaTheme="minorEastAsia"/>
          <w:b/>
          <w:color w:val="000000"/>
          <w:sz w:val="24"/>
          <w:szCs w:val="24"/>
        </w:rPr>
        <w:t>9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9219C3">
        <w:rPr>
          <w:rFonts w:eastAsiaTheme="minorEastAsia"/>
          <w:b/>
          <w:color w:val="000000"/>
          <w:sz w:val="24"/>
          <w:szCs w:val="24"/>
        </w:rPr>
        <w:t xml:space="preserve">вересень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1A9BCE1" w14:textId="77777777" w:rsidR="009219C3" w:rsidRPr="009219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9219C3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59523435" w:rsidR="00480EC3" w:rsidRPr="009219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9219C3">
        <w:rPr>
          <w:rFonts w:eastAsiaTheme="minorEastAsia"/>
          <w:b/>
          <w:noProof/>
          <w:sz w:val="20"/>
        </w:rPr>
        <w:t>Лариса</w:t>
      </w:r>
      <w:r w:rsidR="00480EC3" w:rsidRPr="009219C3">
        <w:rPr>
          <w:rFonts w:eastAsiaTheme="minorEastAsia"/>
          <w:b/>
          <w:noProof/>
          <w:sz w:val="20"/>
        </w:rPr>
        <w:t xml:space="preserve"> </w:t>
      </w:r>
      <w:r w:rsidRPr="009219C3">
        <w:rPr>
          <w:rFonts w:eastAsiaTheme="minorEastAsia"/>
          <w:b/>
          <w:noProof/>
          <w:sz w:val="20"/>
        </w:rPr>
        <w:t>ІВАЩИШИНА</w:t>
      </w:r>
      <w:r w:rsidR="00480EC3" w:rsidRPr="009219C3">
        <w:rPr>
          <w:rFonts w:eastAsiaTheme="minorEastAsia"/>
          <w:b/>
          <w:noProof/>
          <w:sz w:val="20"/>
        </w:rPr>
        <w:t>,</w:t>
      </w:r>
      <w:r w:rsidR="00480EC3" w:rsidRPr="009219C3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9219C3">
        <w:rPr>
          <w:rFonts w:eastAsiaTheme="minorEastAsia"/>
          <w:b/>
          <w:noProof/>
          <w:sz w:val="20"/>
        </w:rPr>
        <w:t>+38 (</w:t>
      </w:r>
      <w:r w:rsidR="00480EC3" w:rsidRPr="009219C3">
        <w:rPr>
          <w:rFonts w:eastAsiaTheme="minorEastAsia"/>
          <w:b/>
          <w:noProof/>
          <w:sz w:val="20"/>
          <w:lang w:val="x-none"/>
        </w:rPr>
        <w:t>09</w:t>
      </w:r>
      <w:r w:rsidRPr="009219C3">
        <w:rPr>
          <w:rFonts w:eastAsiaTheme="minorEastAsia"/>
          <w:b/>
          <w:noProof/>
          <w:sz w:val="20"/>
        </w:rPr>
        <w:t>7</w:t>
      </w:r>
      <w:r w:rsidR="00480EC3" w:rsidRPr="009219C3">
        <w:rPr>
          <w:rFonts w:eastAsiaTheme="minorEastAsia"/>
          <w:b/>
          <w:noProof/>
          <w:sz w:val="20"/>
        </w:rPr>
        <w:t xml:space="preserve">) </w:t>
      </w:r>
      <w:r w:rsidRPr="009219C3">
        <w:rPr>
          <w:rFonts w:eastAsiaTheme="minorEastAsia"/>
          <w:b/>
          <w:noProof/>
          <w:sz w:val="20"/>
        </w:rPr>
        <w:t>350 1945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27"/>
      <w:headerReference w:type="default" r:id="rId2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CECD66A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219C3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0831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219C3"/>
    <w:rsid w:val="009672B9"/>
    <w:rsid w:val="009A5CBB"/>
    <w:rsid w:val="00A201FC"/>
    <w:rsid w:val="00A25DA8"/>
    <w:rsid w:val="00A50F46"/>
    <w:rsid w:val="00A833AC"/>
    <w:rsid w:val="00B92B6E"/>
    <w:rsid w:val="00BA31DD"/>
    <w:rsid w:val="00BE2D10"/>
    <w:rsid w:val="00C02385"/>
    <w:rsid w:val="00C0603E"/>
    <w:rsid w:val="00C96A29"/>
    <w:rsid w:val="00CC08F8"/>
    <w:rsid w:val="00CC329E"/>
    <w:rsid w:val="00D43E93"/>
    <w:rsid w:val="00D62814"/>
    <w:rsid w:val="00D80C97"/>
    <w:rsid w:val="00D9783F"/>
    <w:rsid w:val="00DB3C7A"/>
    <w:rsid w:val="00DC64C3"/>
    <w:rsid w:val="00E14E67"/>
    <w:rsid w:val="00EE738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t26-64@meta.ua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753682458526052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476-983A-4C63-8699-F36AA3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2461</Words>
  <Characters>14028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cp:lastPrinted>2002-04-19T12:13:00Z</cp:lastPrinted>
  <dcterms:created xsi:type="dcterms:W3CDTF">2025-03-20T15:55:00Z</dcterms:created>
  <dcterms:modified xsi:type="dcterms:W3CDTF">2025-09-25T06:20:00Z</dcterms:modified>
</cp:coreProperties>
</file>