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48" w:rsidRDefault="002A4548" w:rsidP="00DA17A2">
      <w:pPr>
        <w:spacing w:after="0"/>
        <w:ind w:right="-31"/>
        <w:rPr>
          <w:rFonts w:ascii="Times New Roman" w:hAnsi="Times New Roman" w:cs="Times New Roman"/>
          <w:b/>
          <w:bCs/>
          <w:sz w:val="24"/>
          <w:szCs w:val="24"/>
        </w:rPr>
      </w:pPr>
    </w:p>
    <w:p w:rsidR="002A4548" w:rsidRDefault="002A4548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705" w:rsidRPr="009822C3" w:rsidRDefault="00A433F5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C3">
        <w:rPr>
          <w:rFonts w:ascii="Times New Roman" w:hAnsi="Times New Roman" w:cs="Times New Roman"/>
          <w:b/>
          <w:bCs/>
          <w:sz w:val="24"/>
          <w:szCs w:val="24"/>
        </w:rPr>
        <w:t>Комунікаційн</w:t>
      </w:r>
      <w:r w:rsidR="00D5536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822C3">
        <w:rPr>
          <w:rFonts w:ascii="Times New Roman" w:hAnsi="Times New Roman" w:cs="Times New Roman"/>
          <w:b/>
          <w:bCs/>
          <w:sz w:val="24"/>
          <w:szCs w:val="24"/>
        </w:rPr>
        <w:t xml:space="preserve"> стратегі</w:t>
      </w:r>
      <w:r w:rsidR="00D55368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9822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7705" w:rsidRPr="009822C3" w:rsidRDefault="00347705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C3">
        <w:rPr>
          <w:rFonts w:ascii="Times New Roman" w:hAnsi="Times New Roman" w:cs="Times New Roman"/>
          <w:b/>
          <w:bCs/>
          <w:sz w:val="24"/>
          <w:szCs w:val="24"/>
        </w:rPr>
        <w:t xml:space="preserve">щодо створення безбар’єрного простору в Україні на період до 2030 року </w:t>
      </w:r>
    </w:p>
    <w:p w:rsidR="00D55368" w:rsidRDefault="00347705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C3">
        <w:rPr>
          <w:rFonts w:ascii="Times New Roman" w:hAnsi="Times New Roman" w:cs="Times New Roman"/>
          <w:b/>
          <w:bCs/>
          <w:sz w:val="24"/>
          <w:szCs w:val="24"/>
        </w:rPr>
        <w:t>на підтримку реалізації Національної стратегії із створення безбар’єрного простору в Україні на період до 2030 року</w:t>
      </w:r>
    </w:p>
    <w:p w:rsidR="00A433F5" w:rsidRPr="009822C3" w:rsidRDefault="00DA17A2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D55368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Личківській територіальній громаді</w:t>
      </w:r>
    </w:p>
    <w:p w:rsidR="00347705" w:rsidRPr="009822C3" w:rsidRDefault="00347705" w:rsidP="00A433F5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2013"/>
        <w:gridCol w:w="3686"/>
        <w:gridCol w:w="2835"/>
        <w:gridCol w:w="3543"/>
        <w:gridCol w:w="3544"/>
        <w:gridCol w:w="1559"/>
        <w:gridCol w:w="4536"/>
      </w:tblGrid>
      <w:tr w:rsidR="00A433F5" w:rsidRPr="009822C3" w:rsidTr="00CD7C48">
        <w:tc>
          <w:tcPr>
            <w:tcW w:w="22221" w:type="dxa"/>
            <w:gridSpan w:val="8"/>
          </w:tcPr>
          <w:p w:rsidR="00A433F5" w:rsidRPr="009822C3" w:rsidRDefault="00A433F5" w:rsidP="00A433F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Відповідальна особа (ПІБ, контактний номер телефону, e-mail): </w:t>
            </w:r>
          </w:p>
        </w:tc>
      </w:tr>
      <w:tr w:rsidR="00942C8C" w:rsidRPr="009822C3" w:rsidTr="00CD7C48">
        <w:tc>
          <w:tcPr>
            <w:tcW w:w="505" w:type="dxa"/>
          </w:tcPr>
          <w:p w:rsidR="00A433F5" w:rsidRPr="009822C3" w:rsidRDefault="00A433F5" w:rsidP="00A433F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13" w:type="dxa"/>
          </w:tcPr>
          <w:p w:rsidR="00A433F5" w:rsidRPr="009822C3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Напрям безбар’єрності</w:t>
            </w:r>
          </w:p>
        </w:tc>
        <w:tc>
          <w:tcPr>
            <w:tcW w:w="3686" w:type="dxa"/>
          </w:tcPr>
          <w:p w:rsidR="00A433F5" w:rsidRPr="009822C3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привід </w:t>
            </w:r>
          </w:p>
        </w:tc>
        <w:tc>
          <w:tcPr>
            <w:tcW w:w="2835" w:type="dxa"/>
          </w:tcPr>
          <w:p w:rsidR="00A433F5" w:rsidRPr="009822C3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</w:p>
        </w:tc>
        <w:tc>
          <w:tcPr>
            <w:tcW w:w="3543" w:type="dxa"/>
          </w:tcPr>
          <w:p w:rsidR="00A433F5" w:rsidRPr="009822C3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Канал комунікацій</w:t>
            </w:r>
          </w:p>
        </w:tc>
        <w:tc>
          <w:tcPr>
            <w:tcW w:w="3544" w:type="dxa"/>
          </w:tcPr>
          <w:p w:rsidR="00A433F5" w:rsidRPr="009822C3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559" w:type="dxa"/>
          </w:tcPr>
          <w:p w:rsidR="00A433F5" w:rsidRPr="009822C3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Період публікації</w:t>
            </w:r>
          </w:p>
        </w:tc>
        <w:tc>
          <w:tcPr>
            <w:tcW w:w="4536" w:type="dxa"/>
          </w:tcPr>
          <w:p w:rsidR="00A433F5" w:rsidRPr="009822C3" w:rsidRDefault="00A433F5" w:rsidP="00A433F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Спікер</w:t>
            </w:r>
          </w:p>
        </w:tc>
      </w:tr>
      <w:tr w:rsidR="00D403D6" w:rsidRPr="009822C3" w:rsidTr="00CD7C48">
        <w:tc>
          <w:tcPr>
            <w:tcW w:w="22221" w:type="dxa"/>
            <w:gridSpan w:val="8"/>
            <w:shd w:val="clear" w:color="auto" w:fill="E2EFD9" w:themeFill="accent6" w:themeFillTint="33"/>
          </w:tcPr>
          <w:p w:rsidR="00D403D6" w:rsidRPr="009822C3" w:rsidRDefault="00D403D6" w:rsidP="00D403D6">
            <w:pPr>
              <w:ind w:right="-3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Доступність усіх об'єктів фізичного оточення для всіх соціальних груп незалежно від віку, стану здоров'я, інвалідності, майнового стану, статі, місця проживання та інших ознак.</w:t>
            </w:r>
          </w:p>
        </w:tc>
      </w:tr>
      <w:tr w:rsidR="00077F35" w:rsidRPr="009822C3" w:rsidTr="00DE52D8">
        <w:tc>
          <w:tcPr>
            <w:tcW w:w="505" w:type="dxa"/>
          </w:tcPr>
          <w:p w:rsidR="00077F35" w:rsidRPr="009822C3" w:rsidRDefault="00077F35" w:rsidP="00C00FF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077F35" w:rsidRPr="009822C3" w:rsidRDefault="00077F35" w:rsidP="00C00FF7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Фізична безбар’єрність.</w:t>
            </w:r>
          </w:p>
        </w:tc>
        <w:tc>
          <w:tcPr>
            <w:tcW w:w="3686" w:type="dxa"/>
            <w:shd w:val="clear" w:color="auto" w:fill="auto"/>
          </w:tcPr>
          <w:p w:rsidR="00077F35" w:rsidRDefault="00077F35" w:rsidP="00DA17A2">
            <w:pPr>
              <w:pStyle w:val="a5"/>
              <w:numPr>
                <w:ilvl w:val="0"/>
                <w:numId w:val="1"/>
              </w:num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будівель</w:t>
            </w:r>
            <w:r w:rsidR="00DA17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приміщень закладів </w:t>
            </w:r>
            <w:r w:rsidR="00DA17A2">
              <w:rPr>
                <w:rFonts w:ascii="Times New Roman" w:hAnsi="Times New Roman" w:cs="Times New Roman"/>
                <w:sz w:val="24"/>
                <w:szCs w:val="24"/>
              </w:rPr>
              <w:t>і установ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A17A2"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населення:</w:t>
            </w:r>
          </w:p>
          <w:p w:rsidR="00DA17A2" w:rsidRDefault="00DA17A2" w:rsidP="00DA17A2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-заклади надання адміністративних послуг;</w:t>
            </w:r>
          </w:p>
          <w:p w:rsidR="00DA17A2" w:rsidRDefault="00DA17A2" w:rsidP="00DA17A2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-заклади охорони здоров’я;</w:t>
            </w:r>
          </w:p>
          <w:p w:rsidR="00DA17A2" w:rsidRDefault="00DA17A2" w:rsidP="00DA17A2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-заклади освіти;</w:t>
            </w:r>
          </w:p>
          <w:p w:rsidR="00DA17A2" w:rsidRDefault="00DA17A2" w:rsidP="00DA17A2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-заклади бібліотек філії КЗ</w:t>
            </w:r>
          </w:p>
          <w:p w:rsidR="00DA17A2" w:rsidRPr="000338AE" w:rsidRDefault="00DA17A2" w:rsidP="00DA17A2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-заклади будинків культури.</w:t>
            </w:r>
          </w:p>
        </w:tc>
        <w:tc>
          <w:tcPr>
            <w:tcW w:w="2835" w:type="dxa"/>
          </w:tcPr>
          <w:p w:rsidR="00077F35" w:rsidRPr="000338AE" w:rsidRDefault="00077F35" w:rsidP="00C00FF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Будуємо простори без бар’єрів</w:t>
            </w:r>
            <w:r w:rsidR="00DA17A2">
              <w:rPr>
                <w:rFonts w:ascii="Times New Roman" w:hAnsi="Times New Roman" w:cs="Times New Roman"/>
                <w:sz w:val="24"/>
                <w:szCs w:val="24"/>
              </w:rPr>
              <w:t xml:space="preserve"> для всіх груп населення.</w:t>
            </w:r>
          </w:p>
        </w:tc>
        <w:tc>
          <w:tcPr>
            <w:tcW w:w="3543" w:type="dxa"/>
          </w:tcPr>
          <w:p w:rsidR="00077F35" w:rsidRPr="000338AE" w:rsidRDefault="00077F35" w:rsidP="00DA17A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вебсайт та сторінки у соціальних мережах </w:t>
            </w:r>
            <w:r w:rsidR="00DA17A2">
              <w:rPr>
                <w:rFonts w:ascii="Times New Roman" w:hAnsi="Times New Roman" w:cs="Times New Roman"/>
                <w:sz w:val="24"/>
                <w:szCs w:val="24"/>
              </w:rPr>
              <w:t xml:space="preserve">Личківської 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територіальн</w:t>
            </w:r>
            <w:r w:rsidR="00DA17A2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 w:rsidR="00DA17A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544" w:type="dxa"/>
          </w:tcPr>
          <w:p w:rsidR="00077F35" w:rsidRPr="000338AE" w:rsidRDefault="00077F35" w:rsidP="00C00FF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  <w:r w:rsidR="00284716">
              <w:rPr>
                <w:rFonts w:ascii="Times New Roman" w:hAnsi="Times New Roman" w:cs="Times New Roman"/>
                <w:sz w:val="24"/>
                <w:szCs w:val="24"/>
              </w:rPr>
              <w:t>і не тільки.</w:t>
            </w:r>
          </w:p>
        </w:tc>
        <w:tc>
          <w:tcPr>
            <w:tcW w:w="1559" w:type="dxa"/>
          </w:tcPr>
          <w:p w:rsidR="00077F35" w:rsidRPr="000338AE" w:rsidRDefault="00077F35" w:rsidP="00C00FF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85005" w:rsidRPr="000338AE"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077F35" w:rsidRPr="000338AE" w:rsidRDefault="00077F35" w:rsidP="0028471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Представники органів місцевого самоврядування</w:t>
            </w:r>
            <w:r w:rsidR="00284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5CE3" w:rsidRPr="009822C3" w:rsidTr="00DE52D8">
        <w:tc>
          <w:tcPr>
            <w:tcW w:w="505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B5CE3" w:rsidRPr="009822C3" w:rsidRDefault="007B5CE3" w:rsidP="007B5CE3">
            <w:pPr>
              <w:pStyle w:val="a5"/>
              <w:numPr>
                <w:ilvl w:val="0"/>
                <w:numId w:val="1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доступності приміщень центрів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надання адміністративних послуг, с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творення вільного доступу до закладів охорони здоров’я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абезпечення безперешкодного доступу до приміщень бібліотек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блаштування об’єктів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захисних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споруд цивільного захисту на території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Личківської сільської ради,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щорічного моніторингу та оцінки ступеня безбар’єрності об’єктів фізичного оточення і послуг для осіб з інвалідністю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осіб з інвалідністю внаслідок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Доступність для кожного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простору з безперешкодним доступом до усіх сфер життєдіяльності</w:t>
            </w:r>
          </w:p>
        </w:tc>
        <w:tc>
          <w:tcPr>
            <w:tcW w:w="3543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Особи з інвалідністю, особи з інвалідністю внаслідок війни, мешканці населених пунктів територіальн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Особи з інвалідністю, особи з інвалідністю внаслідок війни, мешканці населених пунктів територіальн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Представники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органів місцевого самоврядування</w:t>
            </w:r>
          </w:p>
        </w:tc>
      </w:tr>
      <w:tr w:rsidR="007B5CE3" w:rsidRPr="009822C3" w:rsidTr="00CD7C48">
        <w:tc>
          <w:tcPr>
            <w:tcW w:w="22221" w:type="dxa"/>
            <w:gridSpan w:val="8"/>
            <w:shd w:val="clear" w:color="auto" w:fill="E2EFD9" w:themeFill="accent6" w:themeFillTint="33"/>
          </w:tcPr>
          <w:p w:rsidR="007B5CE3" w:rsidRPr="009822C3" w:rsidRDefault="007B5CE3" w:rsidP="007B5CE3">
            <w:pPr>
              <w:ind w:right="-3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Концепція, що передбачає забезпечення рівного доступу до інформації для всіх людей, незалежно від їх фізичних, соціальних або економічних можливостей.</w:t>
            </w:r>
          </w:p>
        </w:tc>
      </w:tr>
      <w:tr w:rsidR="007B5CE3" w:rsidRPr="009822C3" w:rsidTr="00DE52D8">
        <w:tc>
          <w:tcPr>
            <w:tcW w:w="505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Інформаційна безбар'єрність</w:t>
            </w:r>
          </w:p>
        </w:tc>
        <w:tc>
          <w:tcPr>
            <w:tcW w:w="3686" w:type="dxa"/>
            <w:shd w:val="clear" w:color="auto" w:fill="auto"/>
          </w:tcPr>
          <w:p w:rsidR="007B5CE3" w:rsidRPr="000338AE" w:rsidRDefault="007B5CE3" w:rsidP="007B5CE3">
            <w:pPr>
              <w:pStyle w:val="a5"/>
              <w:numPr>
                <w:ilvl w:val="0"/>
                <w:numId w:val="2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“круглого столу” в рамках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Міжнародного дня людей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Інформаційні та навчальні матеріали щодо питань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Комунікаційні заходи для працівників щодо політи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безбар’єрності, 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важливості створення безбар’єрного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(конференції, форуми, презентації тощо)</w:t>
            </w:r>
          </w:p>
        </w:tc>
        <w:tc>
          <w:tcPr>
            <w:tcW w:w="2835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Користуємося інформацією без бар’єрів</w:t>
            </w:r>
          </w:p>
        </w:tc>
        <w:tc>
          <w:tcPr>
            <w:tcW w:w="3543" w:type="dxa"/>
          </w:tcPr>
          <w:p w:rsidR="007B5CE3" w:rsidRDefault="007B5CE3" w:rsidP="007B5CE3">
            <w:r w:rsidRPr="00563583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вебсайт та сторінки у соціальних мережах </w:t>
            </w:r>
            <w:r w:rsidRPr="00563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Личківської територіальної громади.</w:t>
            </w:r>
          </w:p>
        </w:tc>
        <w:tc>
          <w:tcPr>
            <w:tcW w:w="3544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Працівники та відвідувачі закладів</w:t>
            </w:r>
          </w:p>
        </w:tc>
        <w:tc>
          <w:tcPr>
            <w:tcW w:w="1559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7B5CE3" w:rsidRPr="000338AE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Представники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органів місцевого самоврядування</w:t>
            </w:r>
          </w:p>
        </w:tc>
      </w:tr>
      <w:tr w:rsidR="007B5CE3" w:rsidRPr="009822C3" w:rsidTr="00DE52D8">
        <w:tc>
          <w:tcPr>
            <w:tcW w:w="505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B5CE3" w:rsidRPr="009822C3" w:rsidRDefault="007B5CE3" w:rsidP="007B5CE3">
            <w:pPr>
              <w:pStyle w:val="a5"/>
              <w:numPr>
                <w:ilvl w:val="0"/>
                <w:numId w:val="2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Інформування щодо здійснюваних процесів створення безбар’єрного доступу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нформаційні та навчальні матеріали щодо питань безбар’єрності)</w:t>
            </w:r>
          </w:p>
        </w:tc>
        <w:tc>
          <w:tcPr>
            <w:tcW w:w="2835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Кожна людина, незалежно від її функціональних порушень чи комунікаційних можливостей має доступ до інформації в різних форматах</w:t>
            </w:r>
          </w:p>
        </w:tc>
        <w:tc>
          <w:tcPr>
            <w:tcW w:w="3543" w:type="dxa"/>
          </w:tcPr>
          <w:p w:rsidR="007B5CE3" w:rsidRDefault="007B5CE3" w:rsidP="007B5CE3">
            <w:r w:rsidRPr="00563583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Личківської територіальної громади.</w:t>
            </w:r>
          </w:p>
        </w:tc>
        <w:tc>
          <w:tcPr>
            <w:tcW w:w="3544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закладів</w:t>
            </w:r>
          </w:p>
        </w:tc>
        <w:tc>
          <w:tcPr>
            <w:tcW w:w="1559" w:type="dxa"/>
          </w:tcPr>
          <w:p w:rsidR="007B5CE3" w:rsidRPr="009822C3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7B5CE3" w:rsidRPr="000338AE" w:rsidRDefault="007B5CE3" w:rsidP="007B5CE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Представники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органів місцевого самоврядування</w:t>
            </w:r>
          </w:p>
        </w:tc>
      </w:tr>
      <w:tr w:rsidR="003F28AF" w:rsidRPr="009822C3" w:rsidTr="00EB56BF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F28AF" w:rsidRPr="002E288F" w:rsidRDefault="003F28AF" w:rsidP="003F28A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Інформаційно-просвітницькі кампанії для працівників щодо політики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з 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надання інформаційних матеріалів у зручному для різних груп форматі (аудіо, шрифт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великий шрифт). Кожна людина має право на інформацію, культуру і спілкування.</w:t>
            </w:r>
          </w:p>
        </w:tc>
        <w:tc>
          <w:tcPr>
            <w:tcW w:w="3543" w:type="dxa"/>
          </w:tcPr>
          <w:p w:rsidR="003F28AF" w:rsidRDefault="003F28AF" w:rsidP="003F28AF"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Офіційні веб-сайти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бібліотеки</w:t>
            </w:r>
          </w:p>
        </w:tc>
        <w:tc>
          <w:tcPr>
            <w:tcW w:w="3544" w:type="dxa"/>
          </w:tcPr>
          <w:p w:rsidR="003F28AF" w:rsidRDefault="003F28AF" w:rsidP="003F28AF">
            <w:r w:rsidRPr="002676CB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3F28AF" w:rsidRDefault="003F28AF" w:rsidP="003F28A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КЗ «Личківська публічна бібліотека» виконавчого комітету Личківської сільської ради </w:t>
            </w:r>
          </w:p>
        </w:tc>
      </w:tr>
      <w:tr w:rsidR="003F28AF" w:rsidRPr="009822C3" w:rsidTr="00CD7C48">
        <w:tc>
          <w:tcPr>
            <w:tcW w:w="22221" w:type="dxa"/>
            <w:gridSpan w:val="8"/>
            <w:shd w:val="clear" w:color="auto" w:fill="E2EFD9" w:themeFill="accent6" w:themeFillTint="33"/>
          </w:tcPr>
          <w:p w:rsidR="003F28AF" w:rsidRPr="009822C3" w:rsidRDefault="003F28AF" w:rsidP="003F28AF">
            <w:pPr>
              <w:ind w:right="-3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Концепція, яка передбачає усунення перешкод та створення сприятливих умов для участі всіх людей у суспільному житті, незалежно від їхніх індивідуальних особливостей. Це означає, що кожна людина має рівний доступ до освіти, роботи, культурних заходів, громадських місць, онлайн-послуг та інших сфер, де вона може брати участь і реалізувати свій потенціал.</w:t>
            </w:r>
          </w:p>
        </w:tc>
      </w:tr>
      <w:tr w:rsidR="003F28AF" w:rsidRPr="009822C3" w:rsidTr="00DE52D8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Суспільна безбар'єрність.</w:t>
            </w:r>
          </w:p>
        </w:tc>
        <w:tc>
          <w:tcPr>
            <w:tcW w:w="3686" w:type="dxa"/>
            <w:shd w:val="clear" w:color="auto" w:fill="auto"/>
          </w:tcPr>
          <w:p w:rsidR="003F28AF" w:rsidRPr="009822C3" w:rsidRDefault="003F28AF" w:rsidP="003F28AF">
            <w:pPr>
              <w:pStyle w:val="a5"/>
              <w:numPr>
                <w:ilvl w:val="0"/>
                <w:numId w:val="7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Просвітницька кампанія щодо толерантного ставлення, використання чутливої мови спілкування, недопущення дискримінації та булінгу осіб з інвалідністю.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Суспільство має бути толерантним</w:t>
            </w:r>
          </w:p>
        </w:tc>
        <w:tc>
          <w:tcPr>
            <w:tcW w:w="3543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Години спілкування, тематичні заходи.</w:t>
            </w:r>
          </w:p>
        </w:tc>
        <w:tc>
          <w:tcPr>
            <w:tcW w:w="3544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«ЦНАП» виконавчого комітету Личківської сільської ради</w:t>
            </w:r>
          </w:p>
        </w:tc>
      </w:tr>
      <w:tr w:rsidR="003F28AF" w:rsidRPr="009822C3" w:rsidTr="00DE52D8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F28AF" w:rsidRPr="009822C3" w:rsidRDefault="003F28AF" w:rsidP="003F28AF">
            <w:pPr>
              <w:pStyle w:val="a5"/>
              <w:numPr>
                <w:ilvl w:val="0"/>
                <w:numId w:val="7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Розвиток практики організації органами місцевого самоврядування публічних консультацій та інших форм діалогу із залученням всіх суспільних груп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Суспільство відчуває</w:t>
            </w:r>
            <w:r w:rsidRPr="007D588A">
              <w:rPr>
                <w:rFonts w:ascii="Times New Roman" w:hAnsi="Times New Roman" w:cs="Times New Roman"/>
                <w:sz w:val="24"/>
                <w:szCs w:val="24"/>
              </w:rPr>
              <w:t xml:space="preserve"> на власному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віді бар’єри та отримує</w:t>
            </w:r>
            <w:r w:rsidRPr="007D588A">
              <w:rPr>
                <w:rFonts w:ascii="Times New Roman" w:hAnsi="Times New Roman" w:cs="Times New Roman"/>
                <w:sz w:val="24"/>
                <w:szCs w:val="24"/>
              </w:rPr>
              <w:t xml:space="preserve"> поради як їх подолати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583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Личківської територіальної громади.</w:t>
            </w:r>
          </w:p>
        </w:tc>
        <w:tc>
          <w:tcPr>
            <w:tcW w:w="3544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2C3">
              <w:rPr>
                <w:rFonts w:ascii="Times New Roman" w:hAnsi="Times New Roman"/>
                <w:sz w:val="24"/>
                <w:szCs w:val="24"/>
              </w:rPr>
              <w:t>Представники органів місцевого самоврядування</w:t>
            </w:r>
          </w:p>
        </w:tc>
      </w:tr>
      <w:tr w:rsidR="003F28AF" w:rsidRPr="009822C3" w:rsidTr="00882ECE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3F28AF" w:rsidRPr="003F28AF" w:rsidRDefault="003F28AF" w:rsidP="003F28AF">
            <w:pPr>
              <w:pStyle w:val="a5"/>
              <w:numPr>
                <w:ilvl w:val="0"/>
                <w:numId w:val="7"/>
              </w:num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F28AF">
              <w:rPr>
                <w:rFonts w:ascii="Times New Roman" w:hAnsi="Times New Roman" w:cs="Times New Roman"/>
                <w:sz w:val="24"/>
                <w:szCs w:val="24"/>
              </w:rPr>
              <w:t>Формування толерантного, відкритого простору через спільні заходи, тренінги, акції.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до заходів людей з інвалідністю, людей поважного віку, ВПО. Ми відкриті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всіх.</w:t>
            </w:r>
          </w:p>
        </w:tc>
        <w:tc>
          <w:tcPr>
            <w:tcW w:w="3543" w:type="dxa"/>
          </w:tcPr>
          <w:p w:rsidR="003F28AF" w:rsidRDefault="003F28AF" w:rsidP="003F28AF">
            <w:r w:rsidRPr="0098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Офіційні веб-сайти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бібліотеки</w:t>
            </w:r>
          </w:p>
        </w:tc>
        <w:tc>
          <w:tcPr>
            <w:tcW w:w="3544" w:type="dxa"/>
          </w:tcPr>
          <w:p w:rsidR="003F28AF" w:rsidRDefault="003F28AF" w:rsidP="003F28AF">
            <w:r w:rsidRPr="002676CB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3F28AF" w:rsidRDefault="003F28AF" w:rsidP="003F28A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КЗ «Личківська публічна бібліотека» виконавчого комітету Личківської сільської ради </w:t>
            </w:r>
          </w:p>
        </w:tc>
      </w:tr>
      <w:tr w:rsidR="003F28AF" w:rsidRPr="009822C3" w:rsidTr="00CD7C48">
        <w:tc>
          <w:tcPr>
            <w:tcW w:w="22221" w:type="dxa"/>
            <w:gridSpan w:val="8"/>
            <w:shd w:val="clear" w:color="auto" w:fill="E2EFD9" w:themeFill="accent6" w:themeFillTint="33"/>
          </w:tcPr>
          <w:p w:rsidR="003F28AF" w:rsidRPr="009822C3" w:rsidRDefault="003F28AF" w:rsidP="003F28AF">
            <w:pPr>
              <w:ind w:right="-3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Надання рівних можливостей для отримання економічного ресурсу, працевлаштування та ведення бізнесу для всіх, незалежно від їхніх особливостей.</w:t>
            </w:r>
          </w:p>
        </w:tc>
      </w:tr>
      <w:tr w:rsidR="003F28AF" w:rsidRPr="009822C3" w:rsidTr="00DE52D8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F28AF" w:rsidRPr="009822C3" w:rsidRDefault="003F28AF" w:rsidP="003F28AF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Економічна безбар'єрність.</w:t>
            </w:r>
          </w:p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F28AF" w:rsidRPr="009822C3" w:rsidRDefault="003F28AF" w:rsidP="003F28AF">
            <w:pPr>
              <w:pStyle w:val="a5"/>
              <w:numPr>
                <w:ilvl w:val="0"/>
                <w:numId w:val="5"/>
              </w:num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Заходи спрямовані на популяризацію підприємницької культури, розвиток підприємницьких навичок, розвиток підприємницького потенціалу із залученням представників малого і середнього підприємництва, агропромислового комплексу, організація та проведення конференцій, семінарів, форумів, круглих столів, тренінгів, майстер – класів.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Співпраця бізнесу </w:t>
            </w:r>
          </w:p>
        </w:tc>
        <w:tc>
          <w:tcPr>
            <w:tcW w:w="3543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583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Личківської територіальної громади.</w:t>
            </w:r>
          </w:p>
        </w:tc>
        <w:tc>
          <w:tcPr>
            <w:tcW w:w="3544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2C3">
              <w:rPr>
                <w:rFonts w:ascii="Times New Roman" w:hAnsi="Times New Roman"/>
                <w:sz w:val="24"/>
                <w:szCs w:val="24"/>
              </w:rPr>
              <w:t>Представники органів місцевого самоврядування</w:t>
            </w:r>
          </w:p>
        </w:tc>
      </w:tr>
      <w:tr w:rsidR="003F28AF" w:rsidRPr="009822C3" w:rsidTr="00CD7C48">
        <w:tc>
          <w:tcPr>
            <w:tcW w:w="22221" w:type="dxa"/>
            <w:gridSpan w:val="8"/>
            <w:shd w:val="clear" w:color="auto" w:fill="E2EFD9" w:themeFill="accent6" w:themeFillTint="33"/>
          </w:tcPr>
          <w:p w:rsidR="003F28AF" w:rsidRPr="009822C3" w:rsidRDefault="003F28AF" w:rsidP="003F28AF">
            <w:pPr>
              <w:ind w:right="-3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Створення рівного доступу до інформації, онлайн-комунікації, публічних та інших електронних послуг для всіх категорій населення, зокрема, для людей поважного віку, осіб з інвалідністю, жителів сільської місцевості тощо.</w:t>
            </w:r>
          </w:p>
        </w:tc>
      </w:tr>
      <w:tr w:rsidR="003F28AF" w:rsidRPr="009822C3" w:rsidTr="00DE52D8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3F28AF" w:rsidRPr="009822C3" w:rsidRDefault="003F28AF" w:rsidP="003F28AF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Цифрова безбар'єрність.</w:t>
            </w:r>
          </w:p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F28AF" w:rsidRPr="009822C3" w:rsidRDefault="003F28AF" w:rsidP="003F28AF">
            <w:pPr>
              <w:pStyle w:val="a5"/>
              <w:numPr>
                <w:ilvl w:val="0"/>
                <w:numId w:val="4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Швидкісний Інтернет є доступним для всіх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Доступність до Інтернету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надання адміністративних послуг, закладів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освіти, охорони здоров’я, культури,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публічних бібліотек,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обслуговування</w:t>
            </w:r>
          </w:p>
        </w:tc>
        <w:tc>
          <w:tcPr>
            <w:tcW w:w="3543" w:type="dxa"/>
          </w:tcPr>
          <w:p w:rsidR="003F28AF" w:rsidRDefault="003F28AF" w:rsidP="003F28AF">
            <w:r w:rsidRPr="006B3F82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Личківської територіальної громади.</w:t>
            </w:r>
          </w:p>
        </w:tc>
        <w:tc>
          <w:tcPr>
            <w:tcW w:w="3544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2C3">
              <w:rPr>
                <w:rFonts w:ascii="Times New Roman" w:hAnsi="Times New Roman"/>
                <w:sz w:val="24"/>
                <w:szCs w:val="24"/>
              </w:rPr>
              <w:t>Представники органів місцевого самоврядування</w:t>
            </w:r>
          </w:p>
        </w:tc>
      </w:tr>
      <w:tr w:rsidR="003F28AF" w:rsidRPr="009822C3" w:rsidTr="00DE52D8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F28AF" w:rsidRPr="009822C3" w:rsidRDefault="003F28AF" w:rsidP="003F28AF">
            <w:pPr>
              <w:pStyle w:val="a5"/>
              <w:numPr>
                <w:ilvl w:val="0"/>
                <w:numId w:val="4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Усі громадяни мають доступ до електронних публічних послуг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F75C4">
              <w:rPr>
                <w:rFonts w:ascii="Times New Roman" w:hAnsi="Times New Roman" w:cs="Times New Roman"/>
                <w:sz w:val="24"/>
                <w:szCs w:val="24"/>
              </w:rPr>
              <w:t>ей доступ стає все більш важливим та доступним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F75C4">
              <w:rPr>
                <w:rFonts w:ascii="Times New Roman" w:hAnsi="Times New Roman" w:cs="Times New Roman"/>
                <w:sz w:val="24"/>
                <w:szCs w:val="24"/>
              </w:rPr>
              <w:t>Електронні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5C4">
              <w:rPr>
                <w:rFonts w:ascii="Times New Roman" w:hAnsi="Times New Roman" w:cs="Times New Roman"/>
                <w:sz w:val="24"/>
                <w:szCs w:val="24"/>
              </w:rPr>
              <w:t>спрямовані на забезпечення зручності, шви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дкості</w:t>
            </w:r>
            <w:r w:rsidRPr="006F75C4">
              <w:rPr>
                <w:rFonts w:ascii="Times New Roman" w:hAnsi="Times New Roman" w:cs="Times New Roman"/>
                <w:sz w:val="24"/>
                <w:szCs w:val="24"/>
              </w:rPr>
              <w:t xml:space="preserve"> та прозорості надання послуг населенню</w:t>
            </w:r>
          </w:p>
        </w:tc>
        <w:tc>
          <w:tcPr>
            <w:tcW w:w="3543" w:type="dxa"/>
          </w:tcPr>
          <w:p w:rsidR="003F28AF" w:rsidRDefault="003F28AF" w:rsidP="003F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82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вебсайт та сторінки у соціальних мережах Личківської територіальної громади. </w:t>
            </w:r>
          </w:p>
          <w:p w:rsidR="003F28AF" w:rsidRDefault="003F28AF" w:rsidP="003F28AF">
            <w:r w:rsidRPr="006B3F82">
              <w:rPr>
                <w:rFonts w:ascii="Times New Roman" w:hAnsi="Times New Roman" w:cs="Times New Roman"/>
                <w:sz w:val="24"/>
                <w:szCs w:val="24"/>
              </w:rPr>
              <w:t>Офіційн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B3F82">
              <w:rPr>
                <w:rFonts w:ascii="Times New Roman" w:hAnsi="Times New Roman" w:cs="Times New Roman"/>
                <w:sz w:val="24"/>
                <w:szCs w:val="24"/>
              </w:rPr>
              <w:t xml:space="preserve"> вебсайт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t xml:space="preserve">: </w:t>
            </w:r>
          </w:p>
          <w:p w:rsidR="003F28AF" w:rsidRDefault="003F28AF" w:rsidP="003F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75C4">
              <w:rPr>
                <w:rFonts w:ascii="Times New Roman" w:hAnsi="Times New Roman" w:cs="Times New Roman"/>
                <w:sz w:val="24"/>
                <w:szCs w:val="24"/>
              </w:rPr>
              <w:t>ортал електронних послуг Пенсійного фонду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28AF" w:rsidRDefault="003F28AF" w:rsidP="003F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75C4">
              <w:rPr>
                <w:rFonts w:ascii="Times New Roman" w:hAnsi="Times New Roman" w:cs="Times New Roman"/>
                <w:sz w:val="24"/>
                <w:szCs w:val="24"/>
              </w:rPr>
              <w:t>Гід з державних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F28AF" w:rsidRDefault="003F28AF" w:rsidP="003F28AF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75C4">
              <w:rPr>
                <w:rFonts w:ascii="Times New Roman" w:hAnsi="Times New Roman" w:cs="Times New Roman"/>
                <w:sz w:val="24"/>
                <w:szCs w:val="24"/>
              </w:rPr>
              <w:t>Мобільний застосунок Дія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2C3">
              <w:rPr>
                <w:rFonts w:ascii="Times New Roman" w:hAnsi="Times New Roman"/>
                <w:sz w:val="24"/>
                <w:szCs w:val="24"/>
              </w:rPr>
              <w:t>Представники органів місцевого самоврядування</w:t>
            </w:r>
          </w:p>
        </w:tc>
      </w:tr>
      <w:tr w:rsidR="003F28AF" w:rsidRPr="009822C3" w:rsidTr="00CD7C48">
        <w:tc>
          <w:tcPr>
            <w:tcW w:w="22221" w:type="dxa"/>
            <w:gridSpan w:val="8"/>
            <w:shd w:val="clear" w:color="auto" w:fill="E2EFD9" w:themeFill="accent6" w:themeFillTint="33"/>
          </w:tcPr>
          <w:p w:rsidR="003F28AF" w:rsidRPr="009822C3" w:rsidRDefault="003F28AF" w:rsidP="003F28AF">
            <w:pPr>
              <w:ind w:right="-3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Забезпечення рівних можливостей та вільного доступу до освіти для всіх осіб, незалежно від їхніх особливостей чи потреб. Це передбачає не лише доступ до формальної освіти, а й до навчання протягом життя, підвищення кваліфікації та здобуття нових навичок.</w:t>
            </w:r>
          </w:p>
        </w:tc>
      </w:tr>
      <w:tr w:rsidR="003F28AF" w:rsidRPr="009822C3" w:rsidTr="00DE52D8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3F28AF" w:rsidRPr="009822C3" w:rsidRDefault="003F28AF" w:rsidP="003F28AF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Освітня безбар'єрність.</w:t>
            </w:r>
          </w:p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F28AF" w:rsidRPr="009822C3" w:rsidRDefault="003F28AF" w:rsidP="003F28AF">
            <w:pPr>
              <w:pStyle w:val="a5"/>
              <w:numPr>
                <w:ilvl w:val="0"/>
                <w:numId w:val="3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Поширення інформації про навчальні 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наявні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платформі “Дія.Освіта”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Доступність освітніх послуг для всіх суспільних груп</w:t>
            </w:r>
          </w:p>
        </w:tc>
        <w:tc>
          <w:tcPr>
            <w:tcW w:w="3543" w:type="dxa"/>
          </w:tcPr>
          <w:p w:rsidR="003F28AF" w:rsidRDefault="003F28AF" w:rsidP="003F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82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вебсайт та сторінки у соціальних мережах Личківської територіальної громади. </w:t>
            </w:r>
          </w:p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5C4">
              <w:rPr>
                <w:rFonts w:ascii="Times New Roman" w:hAnsi="Times New Roman" w:cs="Times New Roman"/>
                <w:sz w:val="24"/>
                <w:szCs w:val="24"/>
              </w:rPr>
              <w:t>Мобільний застосунок Дія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3F28AF" w:rsidRPr="006E717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«ЦНАП» виконавчого комітету Личківської сільської ради</w:t>
            </w:r>
          </w:p>
        </w:tc>
      </w:tr>
      <w:tr w:rsidR="003F28AF" w:rsidRPr="009822C3" w:rsidTr="00DE52D8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F28AF" w:rsidRPr="009822C3" w:rsidRDefault="003F28AF" w:rsidP="003F28AF">
            <w:pPr>
              <w:pStyle w:val="a5"/>
              <w:numPr>
                <w:ilvl w:val="0"/>
                <w:numId w:val="3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Проведення тренінгів, занять, індивідуальних консультацій з подолання стресу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“Спокій — це сила”</w:t>
            </w:r>
          </w:p>
        </w:tc>
        <w:tc>
          <w:tcPr>
            <w:tcW w:w="3543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Он-лайн заходи, виступи в аудиторіях</w:t>
            </w:r>
          </w:p>
        </w:tc>
        <w:tc>
          <w:tcPr>
            <w:tcW w:w="3544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Батьки з дітьми віком до 7 років; батьки з дітьми з інвалідністю;</w:t>
            </w:r>
          </w:p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люди старшого віку;</w:t>
            </w:r>
          </w:p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люди з інвалідністю та тимчасовими</w:t>
            </w:r>
          </w:p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порушеннями; люди, що постраждали внаслідок</w:t>
            </w:r>
          </w:p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військової агресії Росії проти України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F" w:rsidRPr="009822C3" w:rsidTr="00452E44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6" w:type="dxa"/>
            <w:gridSpan w:val="7"/>
            <w:shd w:val="clear" w:color="auto" w:fill="E2EFD9" w:themeFill="accent6" w:themeFillTint="33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AF" w:rsidRPr="009822C3" w:rsidTr="00DE52D8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Щодо усіх напрямів безбар’єрності</w:t>
            </w:r>
          </w:p>
        </w:tc>
        <w:tc>
          <w:tcPr>
            <w:tcW w:w="3686" w:type="dxa"/>
            <w:shd w:val="clear" w:color="auto" w:fill="auto"/>
          </w:tcPr>
          <w:p w:rsidR="003F28AF" w:rsidRPr="009822C3" w:rsidRDefault="003F28AF" w:rsidP="003F28AF">
            <w:pPr>
              <w:pStyle w:val="a5"/>
              <w:numPr>
                <w:ilvl w:val="0"/>
                <w:numId w:val="8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Захід в рамках «</w:t>
            </w:r>
            <w:r w:rsidRPr="00C03655">
              <w:rPr>
                <w:rFonts w:ascii="Times New Roman" w:hAnsi="Times New Roman" w:cs="Times New Roman"/>
                <w:sz w:val="24"/>
                <w:szCs w:val="24"/>
              </w:rPr>
              <w:t>кожна людина заслуговує на гідне ставлення          до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655">
              <w:rPr>
                <w:rFonts w:ascii="Times New Roman" w:hAnsi="Times New Roman" w:cs="Times New Roman"/>
                <w:sz w:val="24"/>
                <w:szCs w:val="24"/>
              </w:rPr>
              <w:t xml:space="preserve">Головна мета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нашої громади </w:t>
            </w:r>
            <w:r w:rsidRPr="00C03655">
              <w:rPr>
                <w:rFonts w:ascii="Times New Roman" w:hAnsi="Times New Roman" w:cs="Times New Roman"/>
                <w:sz w:val="24"/>
                <w:szCs w:val="24"/>
              </w:rPr>
              <w:t xml:space="preserve">зробити      безбар’єрність новою суспільною нормою, коли кожна людина відчуває себе потрібною,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незалежно від віку та статі</w:t>
            </w:r>
            <w:r w:rsidRPr="00C036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</w:tcPr>
          <w:p w:rsidR="003F28AF" w:rsidRDefault="003F28AF" w:rsidP="003F28AF">
            <w:r w:rsidRPr="0099447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Личківської територіальної громади</w:t>
            </w:r>
          </w:p>
        </w:tc>
        <w:tc>
          <w:tcPr>
            <w:tcW w:w="3544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655">
              <w:rPr>
                <w:rFonts w:ascii="Times New Roman" w:hAnsi="Times New Roman" w:cs="Times New Roman"/>
                <w:sz w:val="24"/>
                <w:szCs w:val="24"/>
              </w:rPr>
              <w:t>Людей приймають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C03655">
              <w:rPr>
                <w:rFonts w:ascii="Times New Roman" w:hAnsi="Times New Roman" w:cs="Times New Roman"/>
                <w:sz w:val="24"/>
                <w:szCs w:val="24"/>
              </w:rPr>
              <w:t xml:space="preserve"> поважають незалежно від віку, стану здоров’я чи інших відмінних 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  <w:r w:rsidRPr="00C03655">
              <w:rPr>
                <w:rFonts w:ascii="Times New Roman" w:hAnsi="Times New Roman" w:cs="Times New Roman"/>
                <w:sz w:val="24"/>
                <w:szCs w:val="24"/>
              </w:rPr>
              <w:t>кцент на розвиток їхньої самостійності та впевненості у собі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р</w:t>
            </w:r>
          </w:p>
        </w:tc>
        <w:tc>
          <w:tcPr>
            <w:tcW w:w="4536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Представники влади та інститутів громадянського суспільства</w:t>
            </w:r>
          </w:p>
        </w:tc>
      </w:tr>
      <w:tr w:rsidR="003F28AF" w:rsidRPr="009822C3" w:rsidTr="00DE52D8">
        <w:tc>
          <w:tcPr>
            <w:tcW w:w="50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F28AF" w:rsidRDefault="003F28AF" w:rsidP="003F28AF">
            <w:pPr>
              <w:pStyle w:val="a5"/>
              <w:numPr>
                <w:ilvl w:val="0"/>
                <w:numId w:val="8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Захід в рамках «</w:t>
            </w:r>
            <w:r w:rsidRPr="00B066D5">
              <w:rPr>
                <w:rFonts w:ascii="Times New Roman" w:hAnsi="Times New Roman" w:cs="Times New Roman"/>
                <w:sz w:val="24"/>
                <w:szCs w:val="24"/>
              </w:rPr>
              <w:t>спільними зусиллями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суспільство без обмежень» </w:t>
            </w:r>
          </w:p>
          <w:p w:rsidR="003F28AF" w:rsidRPr="009822C3" w:rsidRDefault="003F28AF" w:rsidP="003F28AF">
            <w:pPr>
              <w:pStyle w:val="a5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Личківська територіальна громада є </w:t>
            </w:r>
            <w:r w:rsidRPr="0030683F">
              <w:rPr>
                <w:rFonts w:ascii="Times New Roman" w:hAnsi="Times New Roman" w:cs="Times New Roman"/>
                <w:sz w:val="24"/>
                <w:szCs w:val="24"/>
              </w:rPr>
              <w:t>консультативно-дорадчим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надає доступність </w:t>
            </w:r>
            <w:r w:rsidRPr="0030683F">
              <w:rPr>
                <w:rFonts w:ascii="Times New Roman" w:hAnsi="Times New Roman" w:cs="Times New Roman"/>
                <w:sz w:val="24"/>
                <w:szCs w:val="24"/>
              </w:rPr>
              <w:t>послуг, інформації, процедур, програм тощо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</w:tcPr>
          <w:p w:rsidR="003F28AF" w:rsidRDefault="003F28AF" w:rsidP="003F28AF"/>
        </w:tc>
        <w:tc>
          <w:tcPr>
            <w:tcW w:w="3544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66D5">
              <w:rPr>
                <w:rFonts w:ascii="Times New Roman" w:hAnsi="Times New Roman" w:cs="Times New Roman"/>
                <w:sz w:val="24"/>
                <w:szCs w:val="24"/>
              </w:rPr>
              <w:t>обота в безбар’єрному середовищі розвиває толерантність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яка</w:t>
            </w:r>
            <w:r w:rsidRPr="00B066D5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B066D5">
              <w:rPr>
                <w:rFonts w:ascii="Times New Roman" w:hAnsi="Times New Roman" w:cs="Times New Roman"/>
                <w:sz w:val="24"/>
                <w:szCs w:val="24"/>
              </w:rPr>
              <w:t xml:space="preserve"> стати частиною ідентичності кожного українця та українки.</w:t>
            </w:r>
          </w:p>
        </w:tc>
        <w:tc>
          <w:tcPr>
            <w:tcW w:w="1559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F28AF" w:rsidRPr="009822C3" w:rsidRDefault="003F28AF" w:rsidP="003F28A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3F5" w:rsidRDefault="00A433F5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Сільський голова                                                                    Анатолій ЧУПРИНА</w:t>
      </w: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D55368" w:rsidRDefault="00D55368" w:rsidP="00A433F5">
      <w:p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Відповідальна особа   Тетяна КОЗАЧОК</w:t>
      </w:r>
      <w:bookmarkStart w:id="0" w:name="_GoBack"/>
      <w:bookmarkEnd w:id="0"/>
    </w:p>
    <w:sectPr w:rsidR="00D55368" w:rsidSect="00CD7C48">
      <w:pgSz w:w="23811" w:h="16838" w:orient="landscape" w:code="8"/>
      <w:pgMar w:top="1134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582"/>
    <w:multiLevelType w:val="hybridMultilevel"/>
    <w:tmpl w:val="C1848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A1F9F"/>
    <w:multiLevelType w:val="hybridMultilevel"/>
    <w:tmpl w:val="BF82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E17"/>
    <w:multiLevelType w:val="hybridMultilevel"/>
    <w:tmpl w:val="BACCB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70B2"/>
    <w:multiLevelType w:val="hybridMultilevel"/>
    <w:tmpl w:val="9BB85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4F8C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4E59"/>
    <w:multiLevelType w:val="hybridMultilevel"/>
    <w:tmpl w:val="277C2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65619"/>
    <w:multiLevelType w:val="hybridMultilevel"/>
    <w:tmpl w:val="B8926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74ED8"/>
    <w:multiLevelType w:val="hybridMultilevel"/>
    <w:tmpl w:val="D54EA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83088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767B8"/>
    <w:multiLevelType w:val="hybridMultilevel"/>
    <w:tmpl w:val="62CA7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33F5"/>
    <w:rsid w:val="000166BC"/>
    <w:rsid w:val="0001702C"/>
    <w:rsid w:val="000338AE"/>
    <w:rsid w:val="0006415A"/>
    <w:rsid w:val="00077F35"/>
    <w:rsid w:val="000C7F8F"/>
    <w:rsid w:val="000E0A17"/>
    <w:rsid w:val="00131F06"/>
    <w:rsid w:val="00181598"/>
    <w:rsid w:val="0018489B"/>
    <w:rsid w:val="001A20AF"/>
    <w:rsid w:val="001C0255"/>
    <w:rsid w:val="001E4E0D"/>
    <w:rsid w:val="00211740"/>
    <w:rsid w:val="00284716"/>
    <w:rsid w:val="002A4548"/>
    <w:rsid w:val="002E05FB"/>
    <w:rsid w:val="0030683F"/>
    <w:rsid w:val="00347705"/>
    <w:rsid w:val="00360195"/>
    <w:rsid w:val="003B2B90"/>
    <w:rsid w:val="003F28AF"/>
    <w:rsid w:val="00452E44"/>
    <w:rsid w:val="004730A6"/>
    <w:rsid w:val="004871F4"/>
    <w:rsid w:val="004C2DC2"/>
    <w:rsid w:val="005552B1"/>
    <w:rsid w:val="00555518"/>
    <w:rsid w:val="00571690"/>
    <w:rsid w:val="005A6BED"/>
    <w:rsid w:val="005B0A58"/>
    <w:rsid w:val="005B441D"/>
    <w:rsid w:val="005D35F1"/>
    <w:rsid w:val="005E10F4"/>
    <w:rsid w:val="00621245"/>
    <w:rsid w:val="0066265A"/>
    <w:rsid w:val="0068371A"/>
    <w:rsid w:val="006E7173"/>
    <w:rsid w:val="006F75C4"/>
    <w:rsid w:val="006F7F86"/>
    <w:rsid w:val="007346FD"/>
    <w:rsid w:val="00792458"/>
    <w:rsid w:val="007B5CE3"/>
    <w:rsid w:val="007B6386"/>
    <w:rsid w:val="007D0277"/>
    <w:rsid w:val="007D588A"/>
    <w:rsid w:val="007E46E2"/>
    <w:rsid w:val="00837C45"/>
    <w:rsid w:val="008509DF"/>
    <w:rsid w:val="00885005"/>
    <w:rsid w:val="008936F4"/>
    <w:rsid w:val="008A4C5F"/>
    <w:rsid w:val="008B0FDA"/>
    <w:rsid w:val="008B7E79"/>
    <w:rsid w:val="008C505F"/>
    <w:rsid w:val="008D38C9"/>
    <w:rsid w:val="00942C8C"/>
    <w:rsid w:val="0095278E"/>
    <w:rsid w:val="0098131B"/>
    <w:rsid w:val="009822C3"/>
    <w:rsid w:val="00990265"/>
    <w:rsid w:val="009E1C83"/>
    <w:rsid w:val="00A433F5"/>
    <w:rsid w:val="00AD38B1"/>
    <w:rsid w:val="00B04FB2"/>
    <w:rsid w:val="00B066D5"/>
    <w:rsid w:val="00BA55B6"/>
    <w:rsid w:val="00BA5FE0"/>
    <w:rsid w:val="00BF4430"/>
    <w:rsid w:val="00C00FF7"/>
    <w:rsid w:val="00C03655"/>
    <w:rsid w:val="00CD7C48"/>
    <w:rsid w:val="00D31D3E"/>
    <w:rsid w:val="00D403D6"/>
    <w:rsid w:val="00D55368"/>
    <w:rsid w:val="00D7201A"/>
    <w:rsid w:val="00DA17A2"/>
    <w:rsid w:val="00DA311E"/>
    <w:rsid w:val="00DC6DBC"/>
    <w:rsid w:val="00DE52D8"/>
    <w:rsid w:val="00E456FD"/>
    <w:rsid w:val="00EC1D2B"/>
    <w:rsid w:val="00EC7A4C"/>
    <w:rsid w:val="00EE3323"/>
    <w:rsid w:val="00EE3F19"/>
    <w:rsid w:val="00F03971"/>
    <w:rsid w:val="00F0429F"/>
    <w:rsid w:val="00F05AEF"/>
    <w:rsid w:val="00FB52F6"/>
    <w:rsid w:val="00FB5E73"/>
    <w:rsid w:val="00FE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75A6"/>
  <w15:docId w15:val="{EEC3A761-CFEC-4B68-AD1B-7D52C38C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5B0A58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8"/>
      <w:szCs w:val="24"/>
    </w:rPr>
  </w:style>
  <w:style w:type="paragraph" w:styleId="a5">
    <w:name w:val="List Paragraph"/>
    <w:basedOn w:val="a"/>
    <w:uiPriority w:val="34"/>
    <w:qFormat/>
    <w:rsid w:val="00CD7C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E7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5718</Words>
  <Characters>3260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Тугай Анастасія Валеріївна</dc:creator>
  <cp:lastModifiedBy>dell</cp:lastModifiedBy>
  <cp:revision>13</cp:revision>
  <cp:lastPrinted>2025-05-29T12:01:00Z</cp:lastPrinted>
  <dcterms:created xsi:type="dcterms:W3CDTF">2025-05-29T13:20:00Z</dcterms:created>
  <dcterms:modified xsi:type="dcterms:W3CDTF">2025-07-03T09:32:00Z</dcterms:modified>
</cp:coreProperties>
</file>