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3C9D3792" w:rsidR="00C96A29" w:rsidRPr="006B6C31" w:rsidRDefault="00C96A29" w:rsidP="002A73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proofErr w:type="spellStart"/>
            <w:r w:rsidR="002A7372" w:rsidRPr="002A7372">
              <w:rPr>
                <w:i/>
                <w:sz w:val="28"/>
                <w:szCs w:val="28"/>
                <w:u w:val="single"/>
              </w:rPr>
              <w:t>Приорільський</w:t>
            </w:r>
            <w:proofErr w:type="spellEnd"/>
            <w:r w:rsidR="002A7372" w:rsidRPr="002A7372">
              <w:rPr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="002A7372" w:rsidRPr="002A7372">
              <w:rPr>
                <w:i/>
                <w:sz w:val="28"/>
                <w:szCs w:val="28"/>
                <w:u w:val="single"/>
              </w:rPr>
              <w:t>старостинський</w:t>
            </w:r>
            <w:proofErr w:type="spellEnd"/>
            <w:r w:rsidR="002A7372" w:rsidRPr="002A7372">
              <w:rPr>
                <w:i/>
                <w:sz w:val="28"/>
                <w:szCs w:val="28"/>
                <w:u w:val="single"/>
              </w:rPr>
              <w:t xml:space="preserve"> округ №2 Личківської </w:t>
            </w:r>
            <w:proofErr w:type="spellStart"/>
            <w:r w:rsidR="002A7372" w:rsidRPr="002A7372">
              <w:rPr>
                <w:i/>
                <w:sz w:val="28"/>
                <w:szCs w:val="28"/>
                <w:u w:val="single"/>
              </w:rPr>
              <w:t>сілської</w:t>
            </w:r>
            <w:proofErr w:type="spellEnd"/>
            <w:r w:rsidR="002A7372" w:rsidRPr="002A7372">
              <w:rPr>
                <w:i/>
                <w:sz w:val="28"/>
                <w:szCs w:val="28"/>
                <w:u w:val="single"/>
              </w:rPr>
              <w:t xml:space="preserve">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0790CAE5" w:rsidR="00C96A29" w:rsidRPr="006B6C31" w:rsidRDefault="00C96A29" w:rsidP="0096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2A7372" w:rsidRPr="002A7372">
              <w:rPr>
                <w:i/>
                <w:sz w:val="28"/>
                <w:szCs w:val="28"/>
                <w:u w:val="single"/>
              </w:rPr>
              <w:t>Надання адміністративних послуг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0C528F44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Pr="00A25DA8">
              <w:rPr>
                <w:b/>
                <w:sz w:val="28"/>
                <w:szCs w:val="28"/>
                <w:u w:val="single"/>
              </w:rPr>
              <w:t>селище</w:t>
            </w:r>
            <w:r w:rsidRPr="006B6C31">
              <w:rPr>
                <w:sz w:val="28"/>
                <w:szCs w:val="28"/>
              </w:rPr>
              <w:t xml:space="preserve">/село)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57DDCCCD" w:rsidR="00C96A29" w:rsidRPr="00A25DA8" w:rsidRDefault="009672B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назва</w:t>
            </w:r>
            <w:r w:rsidR="00A25DA8">
              <w:rPr>
                <w:sz w:val="28"/>
                <w:szCs w:val="28"/>
              </w:rPr>
              <w:t xml:space="preserve"> населеного пункту </w:t>
            </w:r>
            <w:proofErr w:type="spellStart"/>
            <w:r w:rsidR="00A25DA8">
              <w:rPr>
                <w:i/>
                <w:sz w:val="28"/>
                <w:szCs w:val="28"/>
                <w:u w:val="single"/>
              </w:rPr>
              <w:t>Приорільське</w:t>
            </w:r>
            <w:proofErr w:type="spellEnd"/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2B6D8325" w:rsidR="00C96A29" w:rsidRPr="00A25DA8" w:rsidRDefault="009672B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A25DA8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A25DA8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 xml:space="preserve">, бульвару, проспекту, провулку, площі тощо </w:t>
            </w:r>
            <w:r w:rsidR="00A25DA8">
              <w:rPr>
                <w:i/>
                <w:sz w:val="28"/>
                <w:szCs w:val="28"/>
                <w:u w:val="single"/>
              </w:rPr>
              <w:t>Сонячна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335ECF75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номер будинку</w:t>
            </w:r>
            <w:r w:rsidRPr="00A25DA8">
              <w:rPr>
                <w:i/>
                <w:sz w:val="28"/>
                <w:szCs w:val="28"/>
                <w:u w:val="single"/>
              </w:rPr>
              <w:t xml:space="preserve"> </w:t>
            </w:r>
            <w:r w:rsidR="00A25DA8" w:rsidRPr="00A25DA8">
              <w:rPr>
                <w:i/>
                <w:sz w:val="28"/>
                <w:szCs w:val="28"/>
                <w:u w:val="single"/>
              </w:rPr>
              <w:t>1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2E30DF66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A25DA8">
              <w:rPr>
                <w:i/>
                <w:sz w:val="28"/>
                <w:szCs w:val="28"/>
                <w:u w:val="single"/>
              </w:rPr>
              <w:t>1 (один)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7D736BD1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A25DA8">
              <w:rPr>
                <w:b/>
                <w:sz w:val="28"/>
                <w:szCs w:val="28"/>
                <w:u w:val="single"/>
              </w:rPr>
              <w:t>комунальна</w:t>
            </w:r>
            <w:r w:rsidRPr="006B6C31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575E8263" w:rsidR="00C96A29" w:rsidRPr="00A25DA8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A25DA8">
              <w:rPr>
                <w:sz w:val="28"/>
                <w:szCs w:val="28"/>
                <w:lang w:val="ru-RU"/>
              </w:rPr>
              <w:t xml:space="preserve">+38(097) 350 1945, </w:t>
            </w:r>
            <w:proofErr w:type="spellStart"/>
            <w:r w:rsidR="00A25DA8">
              <w:rPr>
                <w:sz w:val="28"/>
                <w:szCs w:val="28"/>
                <w:lang w:val="ru-RU"/>
              </w:rPr>
              <w:t>ел.адреса</w:t>
            </w:r>
            <w:proofErr w:type="spellEnd"/>
            <w:r w:rsidR="00A25DA8">
              <w:rPr>
                <w:sz w:val="28"/>
                <w:szCs w:val="28"/>
                <w:lang w:val="ru-RU"/>
              </w:rPr>
              <w:t xml:space="preserve">: </w:t>
            </w:r>
            <w:hyperlink r:id="rId8" w:history="1">
              <w:r w:rsidR="00A25DA8" w:rsidRPr="00A6514B">
                <w:rPr>
                  <w:rStyle w:val="af5"/>
                  <w:szCs w:val="28"/>
                  <w:lang w:val="ru-RU"/>
                </w:rPr>
                <w:t>alit26-64@meta.ua</w:t>
              </w:r>
            </w:hyperlink>
            <w:r w:rsidR="00A25DA8">
              <w:rPr>
                <w:sz w:val="28"/>
                <w:szCs w:val="28"/>
                <w:lang w:val="ru-RU"/>
              </w:rPr>
              <w:t xml:space="preserve">, </w:t>
            </w:r>
            <w:hyperlink r:id="rId9" w:history="1">
              <w:r w:rsidR="00A25DA8" w:rsidRPr="00A6514B">
                <w:rPr>
                  <w:rStyle w:val="af5"/>
                  <w:szCs w:val="28"/>
                  <w:lang w:val="ru-RU"/>
                </w:rPr>
                <w:t>https://www.facebook.com/groups/753682458526052/</w:t>
              </w:r>
            </w:hyperlink>
            <w:r w:rsidR="00A25DA8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65AD3399" w:rsidR="00C96A29" w:rsidRPr="006B6C31" w:rsidRDefault="00C96A29" w:rsidP="00A25D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4E74ECC5" w:rsidR="00C96A29" w:rsidRPr="006B6C31" w:rsidRDefault="00C96A29" w:rsidP="00A25DA8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A25DA8" w:rsidRPr="00A25DA8">
              <w:rPr>
                <w:i/>
                <w:sz w:val="28"/>
                <w:szCs w:val="28"/>
                <w:u w:val="single"/>
              </w:rPr>
              <w:t>27.06.2025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4235"/>
        <w:gridCol w:w="1832"/>
        <w:gridCol w:w="1852"/>
        <w:gridCol w:w="2005"/>
      </w:tblGrid>
      <w:tr w:rsidR="00C96A29" w:rsidRPr="006B6C31" w14:paraId="1800B055" w14:textId="77777777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6FED4494" w:rsidR="00C96A29" w:rsidRPr="006B6C31" w:rsidRDefault="00A201FC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A25DA8">
              <w:rPr>
                <w:szCs w:val="28"/>
              </w:rPr>
              <w:t>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607D680D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паркувальні місця для осіб з інвалідністю</w:t>
            </w:r>
            <w:r>
              <w:rPr>
                <w:szCs w:val="28"/>
              </w:rPr>
              <w:t xml:space="preserve"> відсутні</w:t>
            </w:r>
          </w:p>
        </w:tc>
      </w:tr>
      <w:tr w:rsidR="00C96A29" w:rsidRPr="006B6C31" w14:paraId="01664C0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134E2EFF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6B87B1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CFD345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3556B970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1F816667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C0F23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3CB6E708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03FB091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5B6FE2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1143C287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09B34992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F704FE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105D2A93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0CD29590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Є деякі перешкоди для осіб з інвалідністю </w:t>
            </w:r>
            <w:r w:rsidRPr="006B6C31">
              <w:rPr>
                <w:szCs w:val="28"/>
              </w:rPr>
              <w:t>на кріслах колісних</w:t>
            </w:r>
            <w:r>
              <w:rPr>
                <w:szCs w:val="28"/>
              </w:rPr>
              <w:t xml:space="preserve"> </w:t>
            </w:r>
          </w:p>
        </w:tc>
      </w:tr>
      <w:tr w:rsidR="00C96A29" w:rsidRPr="006B6C31" w14:paraId="2341784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68C7B5A3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0ABC095B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391507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780B787B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56622A0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1D070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</w:t>
            </w:r>
            <w:r w:rsidRPr="006B6C31">
              <w:rPr>
                <w:szCs w:val="28"/>
              </w:rPr>
              <w:lastRenderedPageBreak/>
              <w:t>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7FAE2691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36578CA0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</w:t>
            </w:r>
          </w:p>
        </w:tc>
      </w:tr>
      <w:tr w:rsidR="00C96A29" w:rsidRPr="006B6C31" w14:paraId="538D678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056D3A37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15B84F5A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C96A29" w:rsidRPr="006B6C31" w14:paraId="2CA0B2CE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75451615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427379C6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C96A29" w:rsidRPr="006B6C31" w14:paraId="64464C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125921CD" w:rsidR="00C96A29" w:rsidRPr="006B6C31" w:rsidRDefault="00DB3C7A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1CBF4EB7" w:rsidR="00C96A29" w:rsidRPr="006B6C31" w:rsidRDefault="00DB3C7A" w:rsidP="00DB3C7A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тактильна смуга</w:t>
            </w:r>
            <w:r>
              <w:rPr>
                <w:szCs w:val="28"/>
              </w:rPr>
              <w:t xml:space="preserve"> відсутня</w:t>
            </w:r>
            <w:r w:rsidRPr="006B6C31">
              <w:rPr>
                <w:szCs w:val="28"/>
              </w:rPr>
              <w:t xml:space="preserve"> для </w:t>
            </w:r>
            <w:r w:rsidRPr="00B21F82">
              <w:rPr>
                <w:szCs w:val="28"/>
              </w:rPr>
              <w:t>осіб з порушенням зору</w:t>
            </w:r>
          </w:p>
        </w:tc>
      </w:tr>
      <w:tr w:rsidR="00C96A29" w:rsidRPr="006B6C31" w14:paraId="76935CC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</w:t>
            </w:r>
            <w:r w:rsidRPr="00B21F82">
              <w:rPr>
                <w:szCs w:val="28"/>
              </w:rPr>
              <w:lastRenderedPageBreak/>
              <w:t xml:space="preserve">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3F4CAF28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598AFF09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36F849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4466EC4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3B839B90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CF6660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531337D3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36B422F1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 w:rsidRPr="006B6C31">
              <w:t>зовнішня тактильна табличка</w:t>
            </w:r>
            <w:r>
              <w:t xml:space="preserve"> присутня</w:t>
            </w:r>
          </w:p>
        </w:tc>
      </w:tr>
      <w:tr w:rsidR="00C96A29" w:rsidRPr="006B6C31" w14:paraId="1938F0C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0F1E522E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240CDBA9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відсутні, пандус не потрібний</w:t>
            </w:r>
          </w:p>
        </w:tc>
      </w:tr>
      <w:tr w:rsidR="00C96A29" w:rsidRPr="006B6C31" w14:paraId="44160E1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00C94709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35CD8888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Пандус відсутній</w:t>
            </w:r>
          </w:p>
        </w:tc>
      </w:tr>
      <w:tr w:rsidR="00C96A29" w:rsidRPr="006B6C31" w14:paraId="0AF32F3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</w:t>
            </w:r>
            <w:r w:rsidRPr="006B6C31">
              <w:rPr>
                <w:szCs w:val="28"/>
              </w:rPr>
              <w:lastRenderedPageBreak/>
              <w:t>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2A84EA3E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5F0994D3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</w:t>
            </w:r>
          </w:p>
        </w:tc>
      </w:tr>
      <w:tr w:rsidR="00C96A29" w:rsidRPr="006B6C31" w14:paraId="0DCD7E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3954B759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6DC127E3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C96A29" w:rsidRPr="006B6C31" w14:paraId="3AA368D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786B16D0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24668D7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A8C83B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36879C06" w:rsidR="00C96A29" w:rsidRPr="006B6C31" w:rsidRDefault="00BA31DD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0F4EA520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915941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3BCDF9E1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 w:rsidRPr="005F7CAB">
              <w:rPr>
                <w:szCs w:val="28"/>
                <w:highlight w:val="yellow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39FB99ED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63C2FC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7F670A2E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427978C2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Пороги відсутні</w:t>
            </w:r>
          </w:p>
        </w:tc>
      </w:tr>
      <w:tr w:rsidR="00C96A29" w:rsidRPr="006B6C31" w14:paraId="50320FE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</w:t>
            </w:r>
            <w:r w:rsidRPr="006B6C31">
              <w:rPr>
                <w:szCs w:val="28"/>
              </w:rPr>
              <w:lastRenderedPageBreak/>
              <w:t>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63F085C8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3A0E7D8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3F9223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5F55698C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70854BB1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3FBAB9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71B57D5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0C32F9F1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8D44D1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207E0281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226491BD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C96A29" w:rsidRPr="006B6C31" w14:paraId="4008BD6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78E8A08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56D6631A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Турнікет відсутній</w:t>
            </w:r>
          </w:p>
        </w:tc>
      </w:tr>
      <w:tr w:rsidR="00C96A29" w:rsidRPr="006B6C31" w14:paraId="3F00DA7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1B01E20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3249A766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0E05C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7F2E0C5E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26D8436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Сходи відсутні (1 поверх)</w:t>
            </w:r>
          </w:p>
        </w:tc>
      </w:tr>
      <w:tr w:rsidR="00C96A29" w:rsidRPr="006B6C31" w14:paraId="7496A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</w:t>
            </w:r>
            <w:r w:rsidRPr="006B6C31">
              <w:rPr>
                <w:szCs w:val="28"/>
              </w:rPr>
              <w:lastRenderedPageBreak/>
              <w:t xml:space="preserve">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3AD2173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64A445D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C96A29" w:rsidRPr="006B6C31" w14:paraId="30E83AF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17CCC05C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51B6F6B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C96A29" w:rsidRPr="006B6C31" w14:paraId="476F43B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40531792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32A1AAB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C96A29" w:rsidRPr="006B6C31" w14:paraId="5F078F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0A0F07FB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5BDACA19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460F4B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3BC074B8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47358D6B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10EBFEA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 xml:space="preserve">, кути порогів заокруглені, у разі, коли </w:t>
            </w:r>
            <w:r w:rsidRPr="006B6C31">
              <w:rPr>
                <w:szCs w:val="28"/>
              </w:rPr>
              <w:lastRenderedPageBreak/>
              <w:t>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00A856B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5D6DF8CF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Пороги відсутні по всій будівлі </w:t>
            </w:r>
          </w:p>
        </w:tc>
      </w:tr>
      <w:tr w:rsidR="00C96A29" w:rsidRPr="006B6C31" w14:paraId="1ECA56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3371DE29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0B83980B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Перешкоди відсутні</w:t>
            </w:r>
          </w:p>
        </w:tc>
      </w:tr>
      <w:tr w:rsidR="00C96A29" w:rsidRPr="006B6C31" w14:paraId="2C2018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6CED5E59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1BCC241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6DEB6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0DDA02EC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399796E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41446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 xml:space="preserve">вдовжки та </w:t>
            </w:r>
            <w:r>
              <w:lastRenderedPageBreak/>
              <w:t>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1150B7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2DAC5809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Туалет в приміщені відсутній</w:t>
            </w:r>
          </w:p>
        </w:tc>
      </w:tr>
      <w:tr w:rsidR="00C96A29" w:rsidRPr="006B6C31" w14:paraId="7532BA7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40B0DAA2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7ED0F373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F34BF6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1E1AD585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116ECB13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D80CCC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4D4895EB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62715FAF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E6DC9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7B9F2316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327096DD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26B272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02C4C3A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2458716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EE562C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  <w:r w:rsidRPr="006B6C31">
              <w:rPr>
                <w:szCs w:val="28"/>
              </w:rPr>
              <w:t xml:space="preserve">, яка розміщена під кутом 20—30 градусів від горизонтальної площини, а нижній край якої розташовано на </w:t>
            </w:r>
            <w:r w:rsidRPr="006B6C31">
              <w:rPr>
                <w:szCs w:val="28"/>
              </w:rPr>
              <w:lastRenderedPageBreak/>
              <w:t xml:space="preserve">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28203214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0036371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025B85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3A06A3CF" w:rsidR="00C96A29" w:rsidRPr="006B6C31" w:rsidRDefault="005F7CAB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4D0ADCE3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4F7FCD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297FF2F8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2F376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43D9CD46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34C8CD9A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FAB70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6F4A85CD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16845E52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2E13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E780F92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6F232D4D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A0BFC2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6C5FACA4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338DE80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43A34905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11F5C535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660BDE9C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798152D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418133E1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0680719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A4DD2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61E530A8" w:rsidR="00C96A29" w:rsidRPr="006B6C31" w:rsidRDefault="00C96A29" w:rsidP="00A25DA8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5C3A0B3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2A6F9B77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6D1B1C2C" w:rsidR="00C96A29" w:rsidRPr="006B6C31" w:rsidRDefault="007D0831" w:rsidP="00A25DA8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7D0831" w:rsidRPr="006B6C31" w14:paraId="781EEC9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30888EAC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01D6368D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7D0831" w:rsidRPr="006B6C31" w14:paraId="675AD38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</w:t>
            </w:r>
            <w:r w:rsidRPr="006B6C31">
              <w:rPr>
                <w:szCs w:val="28"/>
              </w:rPr>
              <w:lastRenderedPageBreak/>
              <w:t>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5E7810BB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3F26C86D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7D0831" w:rsidRPr="006B6C31" w14:paraId="67C2138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08645B9E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0D1B61DE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7D0831" w:rsidRPr="006B6C31" w14:paraId="09C96E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7D0831" w:rsidRPr="00604001" w:rsidRDefault="007D0831" w:rsidP="007D083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0DF62919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37934E91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7D0831" w:rsidRPr="006B6C31" w14:paraId="2BBB624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697F462C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52B3F56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7D0831" w:rsidRPr="006B6C31" w14:paraId="29BF18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7D0831" w:rsidRPr="00604001" w:rsidRDefault="007D0831" w:rsidP="007D083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8BB6175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4796CED9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7D0831" w:rsidRPr="006B6C31" w14:paraId="49887F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</w:t>
            </w:r>
            <w:proofErr w:type="spellStart"/>
            <w:r w:rsidRPr="006B6C31">
              <w:rPr>
                <w:szCs w:val="28"/>
              </w:rPr>
              <w:t>Брайля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612E86A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4E6B258A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7D0831" w:rsidRPr="006B6C31" w14:paraId="22DED9D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17078254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161F9A19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7D0831" w:rsidRPr="006B6C31" w14:paraId="4A5BA7F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7D0831" w:rsidRPr="006B6C31" w:rsidRDefault="007D0831" w:rsidP="007D083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7E32C676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CF487F0" w:rsidR="007D0831" w:rsidRPr="006B6C31" w:rsidRDefault="007D0831" w:rsidP="007D083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</w:tbl>
    <w:p w14:paraId="394700F3" w14:textId="3CB8370B"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7D0831" w:rsidRPr="007D0831">
        <w:rPr>
          <w:b/>
          <w:i/>
          <w:sz w:val="24"/>
          <w:szCs w:val="24"/>
          <w:u w:val="single"/>
        </w:rPr>
        <w:t>об’єкт є частково безбар’єрним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lastRenderedPageBreak/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62FC5018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5FEE95DB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3944114E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180063DD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05ACF65D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1B325C09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0501241F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55A72B6E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59E8A5BC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5592CF95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3C27653C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5B64E662" w:rsidR="00C96A29" w:rsidRPr="006B6C31" w:rsidRDefault="00CC329E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14:paraId="3C2279AA" w14:textId="6B465093" w:rsidR="00C96A29" w:rsidRDefault="00C96A29" w:rsidP="00C96A29"/>
    <w:p w14:paraId="126716B4" w14:textId="2049FFCA" w:rsidR="00C96A29" w:rsidRDefault="00C96A29" w:rsidP="00C96A29">
      <w:bookmarkStart w:id="0" w:name="_GoBack"/>
      <w:bookmarkEnd w:id="0"/>
    </w:p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65F33A4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1DA11461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3AB61A56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0A216E47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203039ED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1A3FFD92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28229ADB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2EC72F78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2D62532A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5FD7C97F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1BAED54A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2A6FFDF2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22B8E28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2BCDD7AE" w:rsidR="00B92B6E" w:rsidRPr="006B6C31" w:rsidRDefault="00BE2D10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</w:t>
      </w:r>
      <w:r w:rsidRPr="006B6C31">
        <w:rPr>
          <w:sz w:val="24"/>
          <w:szCs w:val="24"/>
        </w:rPr>
        <w:lastRenderedPageBreak/>
        <w:t xml:space="preserve">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rPr>
          <w:rFonts w:eastAsiaTheme="minorEastAsia"/>
          <w:color w:val="000000"/>
          <w:szCs w:val="28"/>
        </w:rPr>
      </w:pPr>
    </w:p>
    <w:p w14:paraId="71FE4F18" w14:textId="77777777" w:rsidR="007D0831" w:rsidRDefault="007D0831" w:rsidP="007D0831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Староста </w:t>
      </w:r>
      <w:proofErr w:type="spellStart"/>
      <w:r>
        <w:rPr>
          <w:rFonts w:eastAsiaTheme="minorEastAsia"/>
          <w:color w:val="000000"/>
          <w:szCs w:val="28"/>
        </w:rPr>
        <w:t>Приорільського</w:t>
      </w:r>
      <w:proofErr w:type="spellEnd"/>
    </w:p>
    <w:p w14:paraId="76CAA258" w14:textId="71D9CB8B" w:rsidR="00480EC3" w:rsidRDefault="007D0831" w:rsidP="007D0831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>старостинського округу №2 Личківської ТГ</w:t>
      </w:r>
      <w:r w:rsidR="00480EC3">
        <w:rPr>
          <w:rFonts w:eastAsiaTheme="minorEastAsia"/>
          <w:color w:val="000000"/>
          <w:szCs w:val="28"/>
        </w:rPr>
        <w:t xml:space="preserve">: </w:t>
      </w:r>
    </w:p>
    <w:p w14:paraId="3E7095D0" w14:textId="77777777" w:rsidR="007D0831" w:rsidRDefault="007D0831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Cs w:val="28"/>
        </w:rPr>
      </w:pPr>
    </w:p>
    <w:p w14:paraId="56C30F7D" w14:textId="1F87F938" w:rsidR="00480EC3" w:rsidRDefault="007D0831" w:rsidP="00480EC3">
      <w:pPr>
        <w:widowControl w:val="0"/>
        <w:autoSpaceDE w:val="0"/>
        <w:autoSpaceDN w:val="0"/>
        <w:adjustRightInd w:val="0"/>
        <w:rPr>
          <w:rFonts w:eastAsiaTheme="minorEastAsia"/>
          <w:bCs/>
          <w:color w:val="000000"/>
          <w:szCs w:val="28"/>
          <w:lang w:val="x-none"/>
        </w:rPr>
      </w:pPr>
      <w:r>
        <w:rPr>
          <w:rFonts w:eastAsiaTheme="minorEastAsia"/>
          <w:b/>
          <w:bCs/>
          <w:color w:val="000000"/>
          <w:szCs w:val="28"/>
        </w:rPr>
        <w:t>Тетяна ДОМНІЧ</w:t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  <w:lang w:val="x-none"/>
        </w:rPr>
        <w:tab/>
      </w:r>
      <w:r w:rsidR="00480EC3">
        <w:rPr>
          <w:rFonts w:eastAsiaTheme="minorEastAsia"/>
          <w:b/>
          <w:bCs/>
          <w:color w:val="000000"/>
          <w:szCs w:val="28"/>
        </w:rPr>
        <w:t>__________________</w:t>
      </w:r>
      <w:r w:rsidR="00480EC3">
        <w:rPr>
          <w:rFonts w:eastAsiaTheme="minorEastAsia"/>
          <w:bCs/>
          <w:color w:val="000000"/>
          <w:szCs w:val="28"/>
          <w:lang w:val="x-none"/>
        </w:rPr>
        <w:t xml:space="preserve">                     </w:t>
      </w:r>
    </w:p>
    <w:p w14:paraId="143622A0" w14:textId="77777777" w:rsidR="00480EC3" w:rsidRDefault="00480EC3" w:rsidP="00480EC3">
      <w:pPr>
        <w:widowControl w:val="0"/>
        <w:autoSpaceDE w:val="0"/>
        <w:autoSpaceDN w:val="0"/>
        <w:adjustRightInd w:val="0"/>
        <w:ind w:left="5040" w:firstLine="720"/>
        <w:rPr>
          <w:rFonts w:eastAsiaTheme="minorEastAsia"/>
          <w:color w:val="000000"/>
          <w:sz w:val="20"/>
        </w:rPr>
      </w:pPr>
      <w:r>
        <w:rPr>
          <w:rFonts w:eastAsiaTheme="minorEastAsia"/>
          <w:bCs/>
          <w:color w:val="000000"/>
          <w:sz w:val="20"/>
        </w:rPr>
        <w:t xml:space="preserve">  </w:t>
      </w:r>
      <w:r>
        <w:rPr>
          <w:rFonts w:eastAsiaTheme="minorEastAsia"/>
          <w:bCs/>
          <w:color w:val="000000"/>
          <w:sz w:val="20"/>
          <w:lang w:val="x-none"/>
        </w:rPr>
        <w:t>Підпис</w:t>
      </w:r>
    </w:p>
    <w:p w14:paraId="7BDB2365" w14:textId="77777777" w:rsidR="00480EC3" w:rsidRDefault="00480EC3" w:rsidP="00480EC3">
      <w:pPr>
        <w:widowControl w:val="0"/>
        <w:autoSpaceDE w:val="0"/>
        <w:autoSpaceDN w:val="0"/>
        <w:adjustRightInd w:val="0"/>
        <w:spacing w:after="120"/>
        <w:jc w:val="both"/>
        <w:rPr>
          <w:rFonts w:eastAsiaTheme="minorEastAsia"/>
          <w:color w:val="000000"/>
          <w:sz w:val="20"/>
        </w:rPr>
      </w:pPr>
    </w:p>
    <w:p w14:paraId="20E9E0A4" w14:textId="12A84931" w:rsidR="00480EC3" w:rsidRDefault="00480EC3" w:rsidP="00480EC3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color w:val="000000"/>
          <w:sz w:val="24"/>
          <w:szCs w:val="24"/>
        </w:rPr>
        <w:t>«</w:t>
      </w:r>
      <w:r w:rsidR="007D0831">
        <w:rPr>
          <w:rFonts w:eastAsiaTheme="minorEastAsia"/>
          <w:b/>
          <w:color w:val="000000"/>
          <w:sz w:val="24"/>
          <w:szCs w:val="24"/>
        </w:rPr>
        <w:t>27</w:t>
      </w:r>
      <w:r>
        <w:rPr>
          <w:rFonts w:eastAsiaTheme="minorEastAsia"/>
          <w:b/>
          <w:color w:val="000000"/>
          <w:sz w:val="24"/>
          <w:szCs w:val="24"/>
        </w:rPr>
        <w:t xml:space="preserve"> »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</w:t>
      </w:r>
      <w:r w:rsidR="007D0831">
        <w:rPr>
          <w:rFonts w:eastAsiaTheme="minorEastAsia"/>
          <w:b/>
          <w:color w:val="000000"/>
          <w:sz w:val="24"/>
          <w:szCs w:val="24"/>
        </w:rPr>
        <w:t xml:space="preserve">червень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20</w:t>
      </w:r>
      <w:r>
        <w:rPr>
          <w:rFonts w:eastAsiaTheme="minorEastAsia"/>
          <w:b/>
          <w:color w:val="000000"/>
          <w:sz w:val="24"/>
          <w:szCs w:val="24"/>
        </w:rPr>
        <w:t>25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 р.</w:t>
      </w:r>
      <w:r>
        <w:rPr>
          <w:rFonts w:eastAsiaTheme="minorEastAsia"/>
          <w:b/>
          <w:color w:val="000000"/>
          <w:sz w:val="24"/>
          <w:szCs w:val="24"/>
        </w:rPr>
        <w:t xml:space="preserve">                                                                              </w:t>
      </w:r>
    </w:p>
    <w:p w14:paraId="475BAC4C" w14:textId="77777777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noProof/>
          <w:sz w:val="24"/>
          <w:szCs w:val="24"/>
          <w:lang w:val="x-none"/>
        </w:rPr>
      </w:pPr>
    </w:p>
    <w:p w14:paraId="22EDCCB5" w14:textId="119C9474" w:rsidR="00480EC3" w:rsidRDefault="00480EC3" w:rsidP="00480EC3">
      <w:pPr>
        <w:widowControl w:val="0"/>
        <w:autoSpaceDE w:val="0"/>
        <w:autoSpaceDN w:val="0"/>
        <w:adjustRightInd w:val="0"/>
        <w:rPr>
          <w:rFonts w:eastAsiaTheme="minorEastAsia"/>
          <w:b/>
          <w:color w:val="000000"/>
          <w:sz w:val="24"/>
          <w:szCs w:val="24"/>
        </w:rPr>
      </w:pPr>
      <w:r>
        <w:rPr>
          <w:rFonts w:eastAsiaTheme="minorEastAsia"/>
          <w:b/>
          <w:noProof/>
          <w:sz w:val="24"/>
          <w:szCs w:val="24"/>
          <w:lang w:val="x-none"/>
        </w:rPr>
        <w:t xml:space="preserve">Виконавець: </w:t>
      </w:r>
      <w:r w:rsidR="007D0831">
        <w:rPr>
          <w:rFonts w:eastAsiaTheme="minorEastAsia"/>
          <w:b/>
          <w:noProof/>
          <w:sz w:val="24"/>
          <w:szCs w:val="24"/>
        </w:rPr>
        <w:t>Лариса</w:t>
      </w:r>
      <w:r>
        <w:rPr>
          <w:rFonts w:eastAsiaTheme="minorEastAsia"/>
          <w:b/>
          <w:noProof/>
          <w:sz w:val="24"/>
          <w:szCs w:val="24"/>
        </w:rPr>
        <w:t xml:space="preserve"> </w:t>
      </w:r>
      <w:r w:rsidR="007D0831">
        <w:rPr>
          <w:rFonts w:eastAsiaTheme="minorEastAsia"/>
          <w:b/>
          <w:noProof/>
          <w:sz w:val="24"/>
          <w:szCs w:val="24"/>
        </w:rPr>
        <w:t>ІВАЩИШИНА</w:t>
      </w:r>
      <w:r>
        <w:rPr>
          <w:rFonts w:eastAsiaTheme="minorEastAsia"/>
          <w:b/>
          <w:noProof/>
          <w:sz w:val="24"/>
          <w:szCs w:val="24"/>
        </w:rPr>
        <w:t>,</w:t>
      </w:r>
      <w:r>
        <w:rPr>
          <w:rFonts w:eastAsiaTheme="minorEastAsia"/>
          <w:b/>
          <w:noProof/>
          <w:sz w:val="24"/>
          <w:szCs w:val="24"/>
          <w:lang w:val="x-none"/>
        </w:rPr>
        <w:t xml:space="preserve"> </w:t>
      </w:r>
      <w:r>
        <w:rPr>
          <w:rFonts w:eastAsiaTheme="minorEastAsia"/>
          <w:b/>
          <w:noProof/>
          <w:sz w:val="24"/>
          <w:szCs w:val="24"/>
        </w:rPr>
        <w:t>+38 (</w:t>
      </w:r>
      <w:r>
        <w:rPr>
          <w:rFonts w:eastAsiaTheme="minorEastAsia"/>
          <w:b/>
          <w:noProof/>
          <w:sz w:val="24"/>
          <w:szCs w:val="24"/>
          <w:lang w:val="x-none"/>
        </w:rPr>
        <w:t>09</w:t>
      </w:r>
      <w:r w:rsidR="007D0831">
        <w:rPr>
          <w:rFonts w:eastAsiaTheme="minorEastAsia"/>
          <w:b/>
          <w:noProof/>
          <w:sz w:val="24"/>
          <w:szCs w:val="24"/>
        </w:rPr>
        <w:t>7</w:t>
      </w:r>
      <w:r>
        <w:rPr>
          <w:rFonts w:eastAsiaTheme="minorEastAsia"/>
          <w:b/>
          <w:noProof/>
          <w:sz w:val="24"/>
          <w:szCs w:val="24"/>
        </w:rPr>
        <w:t xml:space="preserve">) </w:t>
      </w:r>
      <w:r w:rsidR="007D0831">
        <w:rPr>
          <w:rFonts w:eastAsiaTheme="minorEastAsia"/>
          <w:b/>
          <w:noProof/>
          <w:sz w:val="24"/>
          <w:szCs w:val="24"/>
        </w:rPr>
        <w:t>350 1945</w:t>
      </w:r>
    </w:p>
    <w:p w14:paraId="17D30137" w14:textId="77777777" w:rsidR="00480EC3" w:rsidRDefault="00480EC3" w:rsidP="00480EC3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eastAsiaTheme="minorEastAsia" w:cstheme="minorBidi"/>
          <w:noProof/>
          <w:sz w:val="24"/>
          <w:szCs w:val="24"/>
        </w:rPr>
        <w:t>(ПІБ та телефон виконавця)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2C8CB" w14:textId="77777777" w:rsidR="00025B56" w:rsidRDefault="00025B56">
      <w:r>
        <w:separator/>
      </w:r>
    </w:p>
  </w:endnote>
  <w:endnote w:type="continuationSeparator" w:id="0">
    <w:p w14:paraId="443FF330" w14:textId="77777777" w:rsidR="00025B56" w:rsidRDefault="0002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30FF9" w14:textId="77777777" w:rsidR="00025B56" w:rsidRDefault="00025B56">
      <w:r>
        <w:separator/>
      </w:r>
    </w:p>
  </w:footnote>
  <w:footnote w:type="continuationSeparator" w:id="0">
    <w:p w14:paraId="0D096BDD" w14:textId="77777777" w:rsidR="00025B56" w:rsidRDefault="0002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492D4684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E7382">
      <w:rPr>
        <w:noProof/>
      </w:rPr>
      <w:t>14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06C3"/>
    <w:rsid w:val="000B3A6A"/>
    <w:rsid w:val="000E65C8"/>
    <w:rsid w:val="00131C7B"/>
    <w:rsid w:val="00155F4E"/>
    <w:rsid w:val="00190793"/>
    <w:rsid w:val="001A5FC5"/>
    <w:rsid w:val="00210F96"/>
    <w:rsid w:val="00235E70"/>
    <w:rsid w:val="002A7372"/>
    <w:rsid w:val="002E2C3F"/>
    <w:rsid w:val="003149CC"/>
    <w:rsid w:val="00480EC3"/>
    <w:rsid w:val="004A0210"/>
    <w:rsid w:val="004A44C8"/>
    <w:rsid w:val="004C29EB"/>
    <w:rsid w:val="00525BBB"/>
    <w:rsid w:val="00560114"/>
    <w:rsid w:val="005905C7"/>
    <w:rsid w:val="005B731F"/>
    <w:rsid w:val="005F06C5"/>
    <w:rsid w:val="005F7CAB"/>
    <w:rsid w:val="006060F2"/>
    <w:rsid w:val="0063408E"/>
    <w:rsid w:val="006401BB"/>
    <w:rsid w:val="00645343"/>
    <w:rsid w:val="006502AC"/>
    <w:rsid w:val="006538FA"/>
    <w:rsid w:val="006B6C31"/>
    <w:rsid w:val="006F387F"/>
    <w:rsid w:val="0072260E"/>
    <w:rsid w:val="00745F8B"/>
    <w:rsid w:val="00781C4E"/>
    <w:rsid w:val="00781F14"/>
    <w:rsid w:val="007D0831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672B9"/>
    <w:rsid w:val="00A201FC"/>
    <w:rsid w:val="00A25DA8"/>
    <w:rsid w:val="00A50F46"/>
    <w:rsid w:val="00A833AC"/>
    <w:rsid w:val="00B92B6E"/>
    <w:rsid w:val="00BA31DD"/>
    <w:rsid w:val="00BE2D10"/>
    <w:rsid w:val="00C02385"/>
    <w:rsid w:val="00C0603E"/>
    <w:rsid w:val="00C96A29"/>
    <w:rsid w:val="00CC08F8"/>
    <w:rsid w:val="00CC329E"/>
    <w:rsid w:val="00D43E93"/>
    <w:rsid w:val="00D62814"/>
    <w:rsid w:val="00D80C97"/>
    <w:rsid w:val="00D9783F"/>
    <w:rsid w:val="00DB3C7A"/>
    <w:rsid w:val="00DC64C3"/>
    <w:rsid w:val="00E14E67"/>
    <w:rsid w:val="00EE7382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t26-64@meta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753682458526052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568AC-8C04-40D7-AD2A-3E50EBFF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14</Pages>
  <Words>2431</Words>
  <Characters>13861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15</cp:revision>
  <cp:lastPrinted>2002-04-19T12:13:00Z</cp:lastPrinted>
  <dcterms:created xsi:type="dcterms:W3CDTF">2025-03-20T15:55:00Z</dcterms:created>
  <dcterms:modified xsi:type="dcterms:W3CDTF">2025-06-30T11:48:00Z</dcterms:modified>
</cp:coreProperties>
</file>